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30B" w:rsidRDefault="00AF49B6" w:rsidP="0092130B">
      <w:pPr>
        <w:jc w:val="right"/>
        <w:rPr>
          <w:rFonts w:ascii="Arial" w:hAnsi="Arial" w:cs="Arial"/>
          <w:b/>
          <w:color w:val="808080" w:themeColor="background1" w:themeShade="80"/>
          <w:u w:val="single"/>
        </w:rPr>
      </w:pPr>
      <w:r>
        <w:rPr>
          <w:rFonts w:ascii="Arial" w:hAnsi="Arial" w:cs="Arial"/>
          <w:b/>
          <w:noProof/>
          <w:color w:val="808080" w:themeColor="background1" w:themeShade="80"/>
          <w:sz w:val="20"/>
          <w:szCs w:val="20"/>
          <w:u w:val="single"/>
        </w:rPr>
        <w:drawing>
          <wp:anchor distT="0" distB="0" distL="114300" distR="114300" simplePos="0" relativeHeight="251662336" behindDoc="0" locked="0" layoutInCell="1" allowOverlap="1">
            <wp:simplePos x="0" y="0"/>
            <wp:positionH relativeFrom="margin">
              <wp:posOffset>-756285</wp:posOffset>
            </wp:positionH>
            <wp:positionV relativeFrom="margin">
              <wp:posOffset>-518795</wp:posOffset>
            </wp:positionV>
            <wp:extent cx="3448050" cy="589915"/>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0-anversario-fundacion-adecco-rgb.jpg"/>
                    <pic:cNvPicPr/>
                  </pic:nvPicPr>
                  <pic:blipFill>
                    <a:blip r:embed="rId7">
                      <a:extLst>
                        <a:ext uri="{28A0092B-C50C-407E-A947-70E740481C1C}">
                          <a14:useLocalDpi xmlns:a14="http://schemas.microsoft.com/office/drawing/2010/main" val="0"/>
                        </a:ext>
                      </a:extLst>
                    </a:blip>
                    <a:stretch>
                      <a:fillRect/>
                    </a:stretch>
                  </pic:blipFill>
                  <pic:spPr>
                    <a:xfrm>
                      <a:off x="0" y="0"/>
                      <a:ext cx="3448050" cy="589915"/>
                    </a:xfrm>
                    <a:prstGeom prst="rect">
                      <a:avLst/>
                    </a:prstGeom>
                  </pic:spPr>
                </pic:pic>
              </a:graphicData>
            </a:graphic>
            <wp14:sizeRelH relativeFrom="margin">
              <wp14:pctWidth>0</wp14:pctWidth>
            </wp14:sizeRelH>
            <wp14:sizeRelV relativeFrom="margin">
              <wp14:pctHeight>0</wp14:pctHeight>
            </wp14:sizeRelV>
          </wp:anchor>
        </w:drawing>
      </w:r>
      <w:r w:rsidR="00AF5E9D" w:rsidRPr="00AF5E9D">
        <w:rPr>
          <w:rFonts w:ascii="Arial" w:hAnsi="Arial" w:cs="Arial"/>
          <w:b/>
          <w:noProof/>
          <w:color w:val="808080" w:themeColor="background1" w:themeShade="80"/>
          <w:u w:val="single"/>
          <w:lang w:eastAsia="es-ES"/>
        </w:rPr>
        <w:drawing>
          <wp:anchor distT="0" distB="0" distL="114300" distR="114300" simplePos="0" relativeHeight="251661312" behindDoc="0" locked="0" layoutInCell="1" allowOverlap="1">
            <wp:simplePos x="0" y="0"/>
            <wp:positionH relativeFrom="margin">
              <wp:posOffset>4330065</wp:posOffset>
            </wp:positionH>
            <wp:positionV relativeFrom="margin">
              <wp:posOffset>-642620</wp:posOffset>
            </wp:positionV>
            <wp:extent cx="1666875" cy="904875"/>
            <wp:effectExtent l="19050" t="0" r="0" b="0"/>
            <wp:wrapSquare wrapText="bothSides"/>
            <wp:docPr id="62" name="1 Imagen" descr="hashtag-desempleosen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htag-desempleosenior.jpg"/>
                    <pic:cNvPicPr/>
                  </pic:nvPicPr>
                  <pic:blipFill>
                    <a:blip r:embed="rId8" cstate="print"/>
                    <a:stretch>
                      <a:fillRect/>
                    </a:stretch>
                  </pic:blipFill>
                  <pic:spPr>
                    <a:xfrm>
                      <a:off x="0" y="0"/>
                      <a:ext cx="1665605" cy="904875"/>
                    </a:xfrm>
                    <a:prstGeom prst="rect">
                      <a:avLst/>
                    </a:prstGeom>
                  </pic:spPr>
                </pic:pic>
              </a:graphicData>
            </a:graphic>
          </wp:anchor>
        </w:drawing>
      </w:r>
    </w:p>
    <w:p w:rsidR="0092130B" w:rsidRPr="0092130B" w:rsidRDefault="0092130B" w:rsidP="0092130B">
      <w:pPr>
        <w:jc w:val="right"/>
        <w:rPr>
          <w:rFonts w:ascii="Arial" w:hAnsi="Arial" w:cs="Arial"/>
          <w:b/>
          <w:color w:val="808080" w:themeColor="background1" w:themeShade="80"/>
          <w:sz w:val="20"/>
          <w:szCs w:val="20"/>
          <w:u w:val="single"/>
        </w:rPr>
      </w:pPr>
    </w:p>
    <w:p w:rsidR="0092130B" w:rsidRPr="00323AB7" w:rsidRDefault="0092130B" w:rsidP="00323AB7">
      <w:pPr>
        <w:jc w:val="right"/>
        <w:rPr>
          <w:rFonts w:ascii="Arial" w:hAnsi="Arial" w:cs="Arial"/>
          <w:b/>
          <w:color w:val="808080" w:themeColor="background1" w:themeShade="80"/>
          <w:sz w:val="20"/>
          <w:szCs w:val="20"/>
          <w:u w:val="single"/>
        </w:rPr>
      </w:pPr>
      <w:r w:rsidRPr="0092130B">
        <w:rPr>
          <w:rFonts w:ascii="Arial" w:hAnsi="Arial" w:cs="Arial"/>
          <w:b/>
          <w:color w:val="808080" w:themeColor="background1" w:themeShade="80"/>
          <w:sz w:val="20"/>
          <w:szCs w:val="20"/>
          <w:u w:val="single"/>
        </w:rPr>
        <w:t>X</w:t>
      </w:r>
      <w:r w:rsidR="004B66B7">
        <w:rPr>
          <w:rFonts w:ascii="Arial" w:hAnsi="Arial" w:cs="Arial"/>
          <w:b/>
          <w:color w:val="808080" w:themeColor="background1" w:themeShade="80"/>
          <w:sz w:val="20"/>
          <w:szCs w:val="20"/>
          <w:u w:val="single"/>
        </w:rPr>
        <w:t>I</w:t>
      </w:r>
      <w:r w:rsidRPr="0092130B">
        <w:rPr>
          <w:rFonts w:ascii="Arial" w:hAnsi="Arial" w:cs="Arial"/>
          <w:b/>
          <w:color w:val="808080" w:themeColor="background1" w:themeShade="80"/>
          <w:sz w:val="20"/>
          <w:szCs w:val="20"/>
          <w:u w:val="single"/>
        </w:rPr>
        <w:t xml:space="preserve"> INFORME #TUEDADESUNTESORO: Mayores de 55 años en </w:t>
      </w:r>
      <w:r w:rsidR="00697AE3">
        <w:rPr>
          <w:rFonts w:ascii="Arial" w:hAnsi="Arial" w:cs="Arial"/>
          <w:b/>
          <w:color w:val="808080" w:themeColor="background1" w:themeShade="80"/>
          <w:sz w:val="20"/>
          <w:szCs w:val="20"/>
          <w:u w:val="single"/>
        </w:rPr>
        <w:t>el mundo laboral</w:t>
      </w:r>
    </w:p>
    <w:p w:rsidR="006765B1" w:rsidRPr="006765B1" w:rsidRDefault="006765B1" w:rsidP="007E636A">
      <w:pPr>
        <w:shd w:val="clear" w:color="auto" w:fill="FFFFFF"/>
        <w:spacing w:before="100" w:beforeAutospacing="1" w:after="120" w:line="240" w:lineRule="auto"/>
        <w:jc w:val="center"/>
        <w:rPr>
          <w:rFonts w:ascii="Arial" w:hAnsi="Arial" w:cs="Arial"/>
          <w:b/>
          <w:color w:val="000000"/>
          <w:u w:val="single"/>
        </w:rPr>
      </w:pPr>
      <w:r w:rsidRPr="006765B1">
        <w:rPr>
          <w:rFonts w:ascii="Arial" w:hAnsi="Arial" w:cs="Arial"/>
          <w:b/>
          <w:color w:val="000000"/>
          <w:u w:val="single"/>
        </w:rPr>
        <w:t>Según una encuesta realizada por la Fundación Adecco</w:t>
      </w:r>
      <w:r>
        <w:rPr>
          <w:rFonts w:ascii="Arial" w:hAnsi="Arial" w:cs="Arial"/>
          <w:b/>
          <w:color w:val="000000"/>
          <w:u w:val="single"/>
        </w:rPr>
        <w:t>, la cronificación del desempleo puede volverse “extrema” entre los seniors</w:t>
      </w:r>
    </w:p>
    <w:p w:rsidR="007E636A" w:rsidRPr="006765B1" w:rsidRDefault="00430F40" w:rsidP="007E636A">
      <w:pPr>
        <w:shd w:val="clear" w:color="auto" w:fill="FFFFFF"/>
        <w:spacing w:before="100" w:beforeAutospacing="1" w:after="120" w:line="240" w:lineRule="auto"/>
        <w:jc w:val="center"/>
        <w:rPr>
          <w:rFonts w:ascii="Arial" w:hAnsi="Arial" w:cs="Arial"/>
          <w:b/>
          <w:color w:val="000000"/>
          <w:sz w:val="28"/>
          <w:szCs w:val="28"/>
        </w:rPr>
      </w:pPr>
      <w:r w:rsidRPr="006765B1">
        <w:rPr>
          <w:rFonts w:ascii="Arial" w:hAnsi="Arial" w:cs="Arial"/>
          <w:b/>
          <w:color w:val="000000"/>
          <w:sz w:val="28"/>
          <w:szCs w:val="28"/>
        </w:rPr>
        <w:t>Un 43% de los parados mayores de 55 años lle</w:t>
      </w:r>
      <w:r w:rsidR="00B61D40" w:rsidRPr="006765B1">
        <w:rPr>
          <w:rFonts w:ascii="Arial" w:hAnsi="Arial" w:cs="Arial"/>
          <w:b/>
          <w:color w:val="000000"/>
          <w:sz w:val="28"/>
          <w:szCs w:val="28"/>
        </w:rPr>
        <w:t>va más de 4 años en paro y el 58</w:t>
      </w:r>
      <w:r w:rsidRPr="006765B1">
        <w:rPr>
          <w:rFonts w:ascii="Arial" w:hAnsi="Arial" w:cs="Arial"/>
          <w:b/>
          <w:color w:val="000000"/>
          <w:sz w:val="28"/>
          <w:szCs w:val="28"/>
        </w:rPr>
        <w:t>%</w:t>
      </w:r>
      <w:r w:rsidR="007E636A" w:rsidRPr="006765B1">
        <w:rPr>
          <w:rFonts w:ascii="Arial" w:hAnsi="Arial" w:cs="Arial"/>
          <w:b/>
          <w:color w:val="000000"/>
          <w:sz w:val="28"/>
          <w:szCs w:val="28"/>
        </w:rPr>
        <w:t xml:space="preserve"> cree que no </w:t>
      </w:r>
      <w:r w:rsidR="00EA0649" w:rsidRPr="006765B1">
        <w:rPr>
          <w:rFonts w:ascii="Arial" w:hAnsi="Arial" w:cs="Arial"/>
          <w:b/>
          <w:color w:val="000000"/>
          <w:sz w:val="28"/>
          <w:szCs w:val="28"/>
        </w:rPr>
        <w:t xml:space="preserve">volverá </w:t>
      </w:r>
      <w:r w:rsidR="007E636A" w:rsidRPr="006765B1">
        <w:rPr>
          <w:rFonts w:ascii="Arial" w:hAnsi="Arial" w:cs="Arial"/>
          <w:b/>
          <w:color w:val="000000"/>
          <w:sz w:val="28"/>
          <w:szCs w:val="28"/>
        </w:rPr>
        <w:t>a trabajar nunca</w:t>
      </w:r>
    </w:p>
    <w:p w:rsidR="00D703E4" w:rsidRDefault="00C375BF" w:rsidP="009D2489">
      <w:pPr>
        <w:pStyle w:val="Prrafodelista"/>
        <w:numPr>
          <w:ilvl w:val="0"/>
          <w:numId w:val="6"/>
        </w:numPr>
        <w:shd w:val="clear" w:color="auto" w:fill="FFFFFF"/>
        <w:spacing w:before="100" w:beforeAutospacing="1" w:after="120" w:line="240" w:lineRule="auto"/>
        <w:rPr>
          <w:rFonts w:ascii="Arial" w:hAnsi="Arial" w:cs="Arial"/>
          <w:b/>
          <w:color w:val="000000"/>
          <w:sz w:val="20"/>
          <w:szCs w:val="20"/>
        </w:rPr>
      </w:pPr>
      <w:r>
        <w:rPr>
          <w:rFonts w:ascii="Arial" w:hAnsi="Arial" w:cs="Arial"/>
          <w:b/>
          <w:color w:val="000000"/>
          <w:sz w:val="20"/>
          <w:szCs w:val="20"/>
        </w:rPr>
        <w:t>El</w:t>
      </w:r>
      <w:r w:rsidR="006765B1">
        <w:rPr>
          <w:rFonts w:ascii="Arial" w:hAnsi="Arial" w:cs="Arial"/>
          <w:b/>
          <w:color w:val="000000"/>
          <w:sz w:val="20"/>
          <w:szCs w:val="20"/>
        </w:rPr>
        <w:t xml:space="preserve"> 83% de los responsa</w:t>
      </w:r>
      <w:r w:rsidR="00E94D7C">
        <w:rPr>
          <w:rFonts w:ascii="Arial" w:hAnsi="Arial" w:cs="Arial"/>
          <w:b/>
          <w:color w:val="000000"/>
          <w:sz w:val="20"/>
          <w:szCs w:val="20"/>
        </w:rPr>
        <w:t>bles de Recursos Humanos no ha contratado</w:t>
      </w:r>
      <w:r w:rsidR="006765B1">
        <w:rPr>
          <w:rFonts w:ascii="Arial" w:hAnsi="Arial" w:cs="Arial"/>
          <w:b/>
          <w:color w:val="000000"/>
          <w:sz w:val="20"/>
          <w:szCs w:val="20"/>
        </w:rPr>
        <w:t xml:space="preserve"> a ningún mayor de 55 años en el último año</w:t>
      </w:r>
      <w:r w:rsidR="00E94D7C">
        <w:rPr>
          <w:rFonts w:ascii="Arial" w:hAnsi="Arial" w:cs="Arial"/>
          <w:b/>
          <w:color w:val="000000"/>
          <w:sz w:val="20"/>
          <w:szCs w:val="20"/>
        </w:rPr>
        <w:t>, según una encuesta a 1</w:t>
      </w:r>
      <w:r w:rsidR="00006B91">
        <w:rPr>
          <w:rFonts w:ascii="Arial" w:hAnsi="Arial" w:cs="Arial"/>
          <w:b/>
          <w:color w:val="000000"/>
          <w:sz w:val="20"/>
          <w:szCs w:val="20"/>
        </w:rPr>
        <w:t>6</w:t>
      </w:r>
      <w:r w:rsidR="00E94D7C">
        <w:rPr>
          <w:rFonts w:ascii="Arial" w:hAnsi="Arial" w:cs="Arial"/>
          <w:b/>
          <w:color w:val="000000"/>
          <w:sz w:val="20"/>
          <w:szCs w:val="20"/>
        </w:rPr>
        <w:t>0 consultores de selección</w:t>
      </w:r>
      <w:r w:rsidR="006765B1">
        <w:rPr>
          <w:rFonts w:ascii="Arial" w:hAnsi="Arial" w:cs="Arial"/>
          <w:b/>
          <w:color w:val="000000"/>
          <w:sz w:val="20"/>
          <w:szCs w:val="20"/>
        </w:rPr>
        <w:t>; e</w:t>
      </w:r>
      <w:r w:rsidR="00D703E4">
        <w:rPr>
          <w:rFonts w:ascii="Arial" w:hAnsi="Arial" w:cs="Arial"/>
          <w:b/>
          <w:color w:val="000000"/>
          <w:sz w:val="20"/>
          <w:szCs w:val="20"/>
        </w:rPr>
        <w:t xml:space="preserve">l </w:t>
      </w:r>
      <w:r w:rsidR="004E6E2C">
        <w:rPr>
          <w:rFonts w:ascii="Arial" w:hAnsi="Arial" w:cs="Arial"/>
          <w:b/>
          <w:color w:val="000000"/>
          <w:sz w:val="20"/>
          <w:szCs w:val="20"/>
        </w:rPr>
        <w:t>40</w:t>
      </w:r>
      <w:r w:rsidR="00D703E4">
        <w:rPr>
          <w:rFonts w:ascii="Arial" w:hAnsi="Arial" w:cs="Arial"/>
          <w:b/>
          <w:color w:val="000000"/>
          <w:sz w:val="20"/>
          <w:szCs w:val="20"/>
        </w:rPr>
        <w:t xml:space="preserve">% admite que </w:t>
      </w:r>
      <w:r w:rsidR="00430F40">
        <w:rPr>
          <w:rFonts w:ascii="Arial" w:hAnsi="Arial" w:cs="Arial"/>
          <w:b/>
          <w:color w:val="000000"/>
          <w:sz w:val="20"/>
          <w:szCs w:val="20"/>
        </w:rPr>
        <w:t xml:space="preserve">la edad le genera dudas para </w:t>
      </w:r>
      <w:r w:rsidR="00290D1E">
        <w:rPr>
          <w:rFonts w:ascii="Arial" w:hAnsi="Arial" w:cs="Arial"/>
          <w:b/>
          <w:color w:val="000000"/>
          <w:sz w:val="20"/>
          <w:szCs w:val="20"/>
        </w:rPr>
        <w:t xml:space="preserve">la adaptación y </w:t>
      </w:r>
      <w:r w:rsidR="00430F40">
        <w:rPr>
          <w:rFonts w:ascii="Arial" w:hAnsi="Arial" w:cs="Arial"/>
          <w:b/>
          <w:color w:val="000000"/>
          <w:sz w:val="20"/>
          <w:szCs w:val="20"/>
        </w:rPr>
        <w:t>el desempe</w:t>
      </w:r>
      <w:r w:rsidR="00AA455E">
        <w:rPr>
          <w:rFonts w:ascii="Arial" w:hAnsi="Arial" w:cs="Arial"/>
          <w:b/>
          <w:color w:val="000000"/>
          <w:sz w:val="20"/>
          <w:szCs w:val="20"/>
        </w:rPr>
        <w:t xml:space="preserve">ño del puesto, mientras que </w:t>
      </w:r>
      <w:r w:rsidR="004E6E2C">
        <w:rPr>
          <w:rFonts w:ascii="Arial" w:hAnsi="Arial" w:cs="Arial"/>
          <w:b/>
          <w:color w:val="000000"/>
          <w:sz w:val="20"/>
          <w:szCs w:val="20"/>
        </w:rPr>
        <w:t xml:space="preserve">un 45% </w:t>
      </w:r>
      <w:r w:rsidR="00430F40">
        <w:rPr>
          <w:rFonts w:ascii="Arial" w:hAnsi="Arial" w:cs="Arial"/>
          <w:b/>
          <w:color w:val="000000"/>
          <w:sz w:val="20"/>
          <w:szCs w:val="20"/>
        </w:rPr>
        <w:t>afirma que no ha tenido oportunidad de contratar a seniors, al no haber recibido candidaturas de este grupo de edad. Por úl</w:t>
      </w:r>
      <w:r w:rsidR="004E6E2C">
        <w:rPr>
          <w:rFonts w:ascii="Arial" w:hAnsi="Arial" w:cs="Arial"/>
          <w:b/>
          <w:color w:val="000000"/>
          <w:sz w:val="20"/>
          <w:szCs w:val="20"/>
        </w:rPr>
        <w:t>timo, un 5</w:t>
      </w:r>
      <w:r w:rsidR="00430F40">
        <w:rPr>
          <w:rFonts w:ascii="Arial" w:hAnsi="Arial" w:cs="Arial"/>
          <w:b/>
          <w:color w:val="000000"/>
          <w:sz w:val="20"/>
          <w:szCs w:val="20"/>
        </w:rPr>
        <w:t>% alega otros motivos.</w:t>
      </w:r>
    </w:p>
    <w:p w:rsidR="00455013" w:rsidRPr="00430F40" w:rsidRDefault="00430F40" w:rsidP="00430F40">
      <w:pPr>
        <w:pStyle w:val="Prrafodelista"/>
        <w:numPr>
          <w:ilvl w:val="0"/>
          <w:numId w:val="6"/>
        </w:numPr>
        <w:shd w:val="clear" w:color="auto" w:fill="FFFFFF"/>
        <w:spacing w:before="100" w:beforeAutospacing="1" w:after="120" w:line="240" w:lineRule="auto"/>
        <w:rPr>
          <w:rFonts w:ascii="Arial" w:hAnsi="Arial" w:cs="Arial"/>
          <w:b/>
          <w:color w:val="000000"/>
          <w:sz w:val="20"/>
          <w:szCs w:val="20"/>
        </w:rPr>
      </w:pPr>
      <w:r>
        <w:rPr>
          <w:rFonts w:ascii="Arial" w:hAnsi="Arial" w:cs="Arial"/>
          <w:b/>
          <w:color w:val="000000"/>
          <w:sz w:val="20"/>
          <w:szCs w:val="20"/>
        </w:rPr>
        <w:t>Algunas de las principales creencias que frenan a los reclutadores a la contratación de mayores son: “sus conocimientos estarán obsoletos” (75%), “tendrá una menor flexibilidad” (60%) “no encajará en una plantilla mayoritariamente más joven” (34%) o su absentismo será superior, debido a mayores problemas de salud (25%).</w:t>
      </w:r>
    </w:p>
    <w:p w:rsidR="00DE4151" w:rsidRDefault="009F327C" w:rsidP="00DE4151">
      <w:pPr>
        <w:pStyle w:val="Prrafodelista"/>
        <w:numPr>
          <w:ilvl w:val="0"/>
          <w:numId w:val="6"/>
        </w:numPr>
        <w:shd w:val="clear" w:color="auto" w:fill="FFFFFF"/>
        <w:spacing w:before="100" w:beforeAutospacing="1" w:after="120" w:line="240" w:lineRule="auto"/>
        <w:jc w:val="both"/>
        <w:rPr>
          <w:rFonts w:ascii="Arial" w:hAnsi="Arial" w:cs="Arial"/>
          <w:b/>
          <w:color w:val="000000"/>
          <w:sz w:val="20"/>
          <w:szCs w:val="20"/>
        </w:rPr>
      </w:pPr>
      <w:r>
        <w:rPr>
          <w:rFonts w:ascii="Arial" w:hAnsi="Arial" w:cs="Arial"/>
          <w:b/>
          <w:color w:val="000000"/>
          <w:sz w:val="20"/>
          <w:szCs w:val="20"/>
        </w:rPr>
        <w:t xml:space="preserve">“Estas creencias son producto de prejuicios y estereotipos muy asentados en el imaginario social, que se trasladan a las empresas y dan lugar a la discriminación por edad. </w:t>
      </w:r>
      <w:r w:rsidR="00001F69">
        <w:rPr>
          <w:rFonts w:ascii="Arial" w:hAnsi="Arial" w:cs="Arial"/>
          <w:b/>
          <w:color w:val="000000"/>
          <w:sz w:val="20"/>
          <w:szCs w:val="20"/>
        </w:rPr>
        <w:t xml:space="preserve">Sin embargo, son </w:t>
      </w:r>
      <w:r w:rsidR="00B25B53">
        <w:rPr>
          <w:rFonts w:ascii="Arial" w:hAnsi="Arial" w:cs="Arial"/>
          <w:b/>
          <w:color w:val="000000"/>
          <w:sz w:val="20"/>
          <w:szCs w:val="20"/>
        </w:rPr>
        <w:t xml:space="preserve">pensamientos anacrónicos </w:t>
      </w:r>
      <w:r w:rsidR="00001F69">
        <w:rPr>
          <w:rFonts w:ascii="Arial" w:hAnsi="Arial" w:cs="Arial"/>
          <w:b/>
          <w:color w:val="000000"/>
          <w:sz w:val="20"/>
          <w:szCs w:val="20"/>
        </w:rPr>
        <w:t>que empobrecen a las organizaciones y a la sociedad en su conjunto, al desechar valores tan habitualmente presentes en los seniors como la experiencia, la madurez, la templanza o la fidelidad. Además, resulta un absoluto contrasentido discriminar a un trabajador maduro, en una sociedad en máximos históricos de envejecimiento en la que la fuerza laboral senior va a ser la dominante</w:t>
      </w:r>
      <w:r w:rsidR="006A1E80">
        <w:rPr>
          <w:rFonts w:ascii="Arial" w:hAnsi="Arial" w:cs="Arial"/>
          <w:b/>
          <w:color w:val="000000"/>
          <w:sz w:val="20"/>
          <w:szCs w:val="20"/>
        </w:rPr>
        <w:t xml:space="preserve"> y en la que la edad de jubilación tiende a incrementarse</w:t>
      </w:r>
      <w:r w:rsidR="00001F69">
        <w:rPr>
          <w:rFonts w:ascii="Arial" w:hAnsi="Arial" w:cs="Arial"/>
          <w:b/>
          <w:color w:val="000000"/>
          <w:sz w:val="20"/>
          <w:szCs w:val="20"/>
        </w:rPr>
        <w:t>” – declara Francisco Mesonero, director general de la Fundación Adecco.</w:t>
      </w:r>
    </w:p>
    <w:p w:rsidR="00300927" w:rsidRDefault="007D2873" w:rsidP="00DE4151">
      <w:pPr>
        <w:pStyle w:val="Prrafodelista"/>
        <w:numPr>
          <w:ilvl w:val="0"/>
          <w:numId w:val="6"/>
        </w:numPr>
        <w:shd w:val="clear" w:color="auto" w:fill="FFFFFF"/>
        <w:spacing w:before="100" w:beforeAutospacing="1" w:after="120" w:line="240" w:lineRule="auto"/>
        <w:jc w:val="both"/>
        <w:rPr>
          <w:rFonts w:ascii="Arial" w:hAnsi="Arial" w:cs="Arial"/>
          <w:b/>
          <w:color w:val="000000"/>
          <w:sz w:val="20"/>
          <w:szCs w:val="20"/>
        </w:rPr>
      </w:pPr>
      <w:r>
        <w:rPr>
          <w:rFonts w:ascii="Arial" w:hAnsi="Arial" w:cs="Arial"/>
          <w:b/>
          <w:color w:val="000000"/>
          <w:sz w:val="20"/>
          <w:szCs w:val="20"/>
        </w:rPr>
        <w:t>Los prejuicios a los que se enfrentan los seniors tienen un impacto directo en su autoestima: e</w:t>
      </w:r>
      <w:r w:rsidR="000370D9">
        <w:rPr>
          <w:rFonts w:ascii="Arial" w:hAnsi="Arial" w:cs="Arial"/>
          <w:b/>
          <w:color w:val="000000"/>
          <w:sz w:val="20"/>
          <w:szCs w:val="20"/>
        </w:rPr>
        <w:t>l</w:t>
      </w:r>
      <w:r w:rsidR="00300927" w:rsidRPr="00DE4151">
        <w:rPr>
          <w:rFonts w:ascii="Arial" w:hAnsi="Arial" w:cs="Arial"/>
          <w:b/>
          <w:color w:val="000000"/>
          <w:sz w:val="20"/>
          <w:szCs w:val="20"/>
        </w:rPr>
        <w:t xml:space="preserve"> 90% opina que su edad le perjudica en la búsqueda de empleo y admite sentir inseguridad cuando acude a las entrevistas de trabajo.</w:t>
      </w:r>
      <w:r w:rsidR="00B61D40">
        <w:rPr>
          <w:rFonts w:ascii="Arial" w:hAnsi="Arial" w:cs="Arial"/>
          <w:b/>
          <w:color w:val="000000"/>
          <w:sz w:val="20"/>
          <w:szCs w:val="20"/>
        </w:rPr>
        <w:t xml:space="preserve"> De hecho, un 58</w:t>
      </w:r>
      <w:r w:rsidR="00DE4151">
        <w:rPr>
          <w:rFonts w:ascii="Arial" w:hAnsi="Arial" w:cs="Arial"/>
          <w:b/>
          <w:color w:val="000000"/>
          <w:sz w:val="20"/>
          <w:szCs w:val="20"/>
        </w:rPr>
        <w:t>% considera que no podrá volver a trabajar nunca.</w:t>
      </w:r>
    </w:p>
    <w:p w:rsidR="000E0FE8" w:rsidRDefault="009D2489" w:rsidP="00A81E48">
      <w:pPr>
        <w:pStyle w:val="Prrafodelista"/>
        <w:numPr>
          <w:ilvl w:val="0"/>
          <w:numId w:val="6"/>
        </w:numPr>
        <w:shd w:val="clear" w:color="auto" w:fill="FFFFFF"/>
        <w:spacing w:before="100" w:beforeAutospacing="1" w:after="120" w:line="240" w:lineRule="auto"/>
        <w:rPr>
          <w:rFonts w:ascii="Arial" w:hAnsi="Arial" w:cs="Arial"/>
          <w:b/>
          <w:color w:val="000000"/>
          <w:sz w:val="20"/>
          <w:szCs w:val="20"/>
        </w:rPr>
      </w:pPr>
      <w:r>
        <w:rPr>
          <w:rFonts w:ascii="Arial" w:hAnsi="Arial" w:cs="Arial"/>
          <w:b/>
          <w:color w:val="000000"/>
          <w:sz w:val="20"/>
          <w:szCs w:val="20"/>
        </w:rPr>
        <w:t>Los desempleados mayores de 55 años son los únicos que ha</w:t>
      </w:r>
      <w:r w:rsidR="00BE5304">
        <w:rPr>
          <w:rFonts w:ascii="Arial" w:hAnsi="Arial" w:cs="Arial"/>
          <w:b/>
          <w:color w:val="000000"/>
          <w:sz w:val="20"/>
          <w:szCs w:val="20"/>
        </w:rPr>
        <w:t xml:space="preserve">n crecido durante el último año, frente </w:t>
      </w:r>
      <w:r w:rsidRPr="00BE5304">
        <w:rPr>
          <w:rFonts w:ascii="Arial" w:hAnsi="Arial" w:cs="Arial"/>
          <w:b/>
          <w:color w:val="000000"/>
          <w:sz w:val="20"/>
          <w:szCs w:val="20"/>
        </w:rPr>
        <w:t>al descenso g</w:t>
      </w:r>
      <w:r w:rsidR="00BE5304">
        <w:rPr>
          <w:rFonts w:ascii="Arial" w:hAnsi="Arial" w:cs="Arial"/>
          <w:b/>
          <w:color w:val="000000"/>
          <w:sz w:val="20"/>
          <w:szCs w:val="20"/>
        </w:rPr>
        <w:t xml:space="preserve">eneralizado de parados del resto de edades. Hoy, </w:t>
      </w:r>
      <w:r w:rsidRPr="00BE5304">
        <w:rPr>
          <w:rFonts w:ascii="Arial" w:hAnsi="Arial" w:cs="Arial"/>
          <w:b/>
          <w:color w:val="000000"/>
          <w:sz w:val="20"/>
          <w:szCs w:val="20"/>
        </w:rPr>
        <w:t>ya represent</w:t>
      </w:r>
      <w:r w:rsidR="00BE5304">
        <w:rPr>
          <w:rFonts w:ascii="Arial" w:hAnsi="Arial" w:cs="Arial"/>
          <w:b/>
          <w:color w:val="000000"/>
          <w:sz w:val="20"/>
          <w:szCs w:val="20"/>
        </w:rPr>
        <w:t>an el 15% del total, frente al 7</w:t>
      </w:r>
      <w:r w:rsidRPr="00BE5304">
        <w:rPr>
          <w:rFonts w:ascii="Arial" w:hAnsi="Arial" w:cs="Arial"/>
          <w:b/>
          <w:color w:val="000000"/>
          <w:sz w:val="20"/>
          <w:szCs w:val="20"/>
        </w:rPr>
        <w:t>% que suponían hace una década.</w:t>
      </w:r>
    </w:p>
    <w:p w:rsidR="00CD2338" w:rsidRPr="00A81E48" w:rsidRDefault="000E0FE8" w:rsidP="00A81E48">
      <w:pPr>
        <w:pStyle w:val="Prrafodelista"/>
        <w:numPr>
          <w:ilvl w:val="0"/>
          <w:numId w:val="6"/>
        </w:numPr>
        <w:shd w:val="clear" w:color="auto" w:fill="FFFFFF"/>
        <w:spacing w:before="100" w:beforeAutospacing="1" w:after="120" w:line="240" w:lineRule="auto"/>
        <w:rPr>
          <w:rFonts w:ascii="Arial" w:hAnsi="Arial" w:cs="Arial"/>
          <w:b/>
          <w:color w:val="000000"/>
          <w:sz w:val="20"/>
          <w:szCs w:val="20"/>
        </w:rPr>
      </w:pPr>
      <w:r>
        <w:rPr>
          <w:rFonts w:ascii="Arial" w:hAnsi="Arial" w:cs="Arial"/>
          <w:b/>
          <w:color w:val="000000"/>
          <w:sz w:val="20"/>
          <w:szCs w:val="20"/>
        </w:rPr>
        <w:t xml:space="preserve">La Fundación Adecco encontró empleo </w:t>
      </w:r>
      <w:r w:rsidRPr="003C402D">
        <w:rPr>
          <w:rFonts w:ascii="Arial" w:hAnsi="Arial" w:cs="Arial"/>
          <w:b/>
          <w:color w:val="FF0000"/>
          <w:sz w:val="20"/>
          <w:szCs w:val="20"/>
        </w:rPr>
        <w:t xml:space="preserve">a 808 </w:t>
      </w:r>
      <w:proofErr w:type="gramStart"/>
      <w:r w:rsidRPr="003C402D">
        <w:rPr>
          <w:rFonts w:ascii="Arial" w:hAnsi="Arial" w:cs="Arial"/>
          <w:b/>
          <w:color w:val="FF0000"/>
          <w:sz w:val="20"/>
          <w:szCs w:val="20"/>
        </w:rPr>
        <w:t xml:space="preserve">mayores  </w:t>
      </w:r>
      <w:r>
        <w:rPr>
          <w:rFonts w:ascii="Arial" w:hAnsi="Arial" w:cs="Arial"/>
          <w:b/>
          <w:color w:val="000000"/>
          <w:sz w:val="20"/>
          <w:szCs w:val="20"/>
        </w:rPr>
        <w:t>de</w:t>
      </w:r>
      <w:proofErr w:type="gramEnd"/>
      <w:r>
        <w:rPr>
          <w:rFonts w:ascii="Arial" w:hAnsi="Arial" w:cs="Arial"/>
          <w:b/>
          <w:color w:val="000000"/>
          <w:sz w:val="20"/>
          <w:szCs w:val="20"/>
        </w:rPr>
        <w:t xml:space="preserve"> 55 años en el último año, el </w:t>
      </w:r>
      <w:r w:rsidRPr="00B617C9">
        <w:rPr>
          <w:rFonts w:ascii="Arial" w:hAnsi="Arial" w:cs="Arial"/>
          <w:b/>
          <w:color w:val="FF0000"/>
          <w:sz w:val="20"/>
          <w:szCs w:val="20"/>
        </w:rPr>
        <w:t xml:space="preserve">% </w:t>
      </w:r>
      <w:r>
        <w:rPr>
          <w:rFonts w:ascii="Arial" w:hAnsi="Arial" w:cs="Arial"/>
          <w:b/>
          <w:color w:val="000000"/>
          <w:sz w:val="20"/>
          <w:szCs w:val="20"/>
        </w:rPr>
        <w:t>del total de los que acudieron a sus oficinas.</w:t>
      </w:r>
      <w:r w:rsidR="00A81E48">
        <w:rPr>
          <w:rFonts w:ascii="Arial" w:hAnsi="Arial" w:cs="Arial"/>
          <w:b/>
          <w:color w:val="000000"/>
          <w:sz w:val="20"/>
          <w:szCs w:val="20"/>
        </w:rPr>
        <w:br/>
      </w:r>
    </w:p>
    <w:p w:rsidR="00E332FC" w:rsidRDefault="004D3139" w:rsidP="00CF323D">
      <w:pPr>
        <w:jc w:val="both"/>
        <w:rPr>
          <w:rFonts w:ascii="Arial" w:hAnsi="Arial" w:cs="Arial"/>
          <w:color w:val="000000"/>
          <w:sz w:val="20"/>
          <w:szCs w:val="20"/>
        </w:rPr>
      </w:pPr>
      <w:r>
        <w:rPr>
          <w:rFonts w:ascii="Arial" w:hAnsi="Arial" w:cs="Arial"/>
          <w:b/>
          <w:color w:val="000000"/>
          <w:sz w:val="20"/>
          <w:szCs w:val="20"/>
        </w:rPr>
        <w:t xml:space="preserve">Madrid, </w:t>
      </w:r>
      <w:r w:rsidR="003A1C8F">
        <w:rPr>
          <w:rFonts w:ascii="Arial" w:hAnsi="Arial" w:cs="Arial"/>
          <w:b/>
          <w:color w:val="000000"/>
          <w:sz w:val="20"/>
          <w:szCs w:val="20"/>
        </w:rPr>
        <w:t>4</w:t>
      </w:r>
      <w:r>
        <w:rPr>
          <w:rFonts w:ascii="Arial" w:hAnsi="Arial" w:cs="Arial"/>
          <w:b/>
          <w:color w:val="000000"/>
          <w:sz w:val="20"/>
          <w:szCs w:val="20"/>
        </w:rPr>
        <w:t xml:space="preserve"> de </w:t>
      </w:r>
      <w:r w:rsidR="003A1C8F">
        <w:rPr>
          <w:rFonts w:ascii="Arial" w:hAnsi="Arial" w:cs="Arial"/>
          <w:b/>
          <w:color w:val="000000"/>
          <w:sz w:val="20"/>
          <w:szCs w:val="20"/>
        </w:rPr>
        <w:t xml:space="preserve">junio </w:t>
      </w:r>
      <w:r>
        <w:rPr>
          <w:rFonts w:ascii="Arial" w:hAnsi="Arial" w:cs="Arial"/>
          <w:b/>
          <w:color w:val="000000"/>
          <w:sz w:val="20"/>
          <w:szCs w:val="20"/>
        </w:rPr>
        <w:t xml:space="preserve">de 2019.- </w:t>
      </w:r>
      <w:r w:rsidR="00CD2338" w:rsidRPr="00CD2338">
        <w:rPr>
          <w:rFonts w:ascii="Arial" w:hAnsi="Arial" w:cs="Arial"/>
          <w:color w:val="000000"/>
          <w:sz w:val="20"/>
          <w:szCs w:val="20"/>
        </w:rPr>
        <w:t xml:space="preserve">Por undécimo año consecutivo, </w:t>
      </w:r>
      <w:r w:rsidR="00CD2338">
        <w:rPr>
          <w:rFonts w:ascii="Arial" w:hAnsi="Arial" w:cs="Arial"/>
          <w:color w:val="000000"/>
          <w:sz w:val="20"/>
          <w:szCs w:val="20"/>
        </w:rPr>
        <w:t xml:space="preserve">la Fundación Adecco presenta el informe </w:t>
      </w:r>
      <w:r w:rsidR="00CD2338" w:rsidRPr="00753B32">
        <w:rPr>
          <w:rFonts w:ascii="Arial" w:hAnsi="Arial" w:cs="Arial"/>
          <w:b/>
          <w:color w:val="000000"/>
          <w:sz w:val="20"/>
          <w:szCs w:val="20"/>
        </w:rPr>
        <w:t>#TuEdadEsUnTesoro: mayores de 55 años en el mundo laboral</w:t>
      </w:r>
      <w:r w:rsidR="00415991">
        <w:rPr>
          <w:rFonts w:ascii="Arial" w:hAnsi="Arial" w:cs="Arial"/>
          <w:color w:val="000000"/>
          <w:sz w:val="20"/>
          <w:szCs w:val="20"/>
        </w:rPr>
        <w:t xml:space="preserve">, un trabajo </w:t>
      </w:r>
      <w:r w:rsidR="00CD2338">
        <w:rPr>
          <w:rFonts w:ascii="Arial" w:hAnsi="Arial" w:cs="Arial"/>
          <w:color w:val="000000"/>
          <w:sz w:val="20"/>
          <w:szCs w:val="20"/>
        </w:rPr>
        <w:t>cuyo propósito es visibilizar y generar conciencia sobre las grandes dificultades que siguen encontrando los profesionales más senior para acceder al mercado laboral y conservar su</w:t>
      </w:r>
      <w:r w:rsidR="00415991">
        <w:rPr>
          <w:rFonts w:ascii="Arial" w:hAnsi="Arial" w:cs="Arial"/>
          <w:color w:val="000000"/>
          <w:sz w:val="20"/>
          <w:szCs w:val="20"/>
        </w:rPr>
        <w:t xml:space="preserve"> empleo.</w:t>
      </w:r>
    </w:p>
    <w:p w:rsidR="00CF323D" w:rsidRDefault="00CF323D" w:rsidP="00CF323D">
      <w:pPr>
        <w:jc w:val="both"/>
        <w:rPr>
          <w:rFonts w:ascii="Arial" w:hAnsi="Arial" w:cs="Arial"/>
          <w:sz w:val="20"/>
          <w:szCs w:val="20"/>
        </w:rPr>
      </w:pPr>
      <w:r>
        <w:rPr>
          <w:rFonts w:ascii="Arial" w:hAnsi="Arial" w:cs="Arial"/>
          <w:sz w:val="20"/>
          <w:szCs w:val="20"/>
        </w:rPr>
        <w:t xml:space="preserve">Este </w:t>
      </w:r>
      <w:r w:rsidR="00415991">
        <w:rPr>
          <w:rFonts w:ascii="Arial" w:hAnsi="Arial" w:cs="Arial"/>
          <w:sz w:val="20"/>
          <w:szCs w:val="20"/>
        </w:rPr>
        <w:t>trabajo</w:t>
      </w:r>
      <w:r>
        <w:rPr>
          <w:rFonts w:ascii="Arial" w:hAnsi="Arial" w:cs="Arial"/>
          <w:sz w:val="20"/>
          <w:szCs w:val="20"/>
        </w:rPr>
        <w:t xml:space="preserve"> sus conclusiones en una encue</w:t>
      </w:r>
      <w:r w:rsidR="00E166D1">
        <w:rPr>
          <w:rFonts w:ascii="Arial" w:hAnsi="Arial" w:cs="Arial"/>
          <w:sz w:val="20"/>
          <w:szCs w:val="20"/>
        </w:rPr>
        <w:t xml:space="preserve">sta, confidencial y anónima, a </w:t>
      </w:r>
      <w:r w:rsidR="00B617C9">
        <w:rPr>
          <w:rFonts w:ascii="Arial" w:hAnsi="Arial" w:cs="Arial"/>
          <w:sz w:val="20"/>
          <w:szCs w:val="20"/>
        </w:rPr>
        <w:t>160</w:t>
      </w:r>
      <w:r>
        <w:rPr>
          <w:rFonts w:ascii="Arial" w:hAnsi="Arial" w:cs="Arial"/>
          <w:sz w:val="20"/>
          <w:szCs w:val="20"/>
        </w:rPr>
        <w:t xml:space="preserve"> profesionales de Recursos Huma</w:t>
      </w:r>
      <w:r w:rsidR="00E332FC">
        <w:rPr>
          <w:rFonts w:ascii="Arial" w:hAnsi="Arial" w:cs="Arial"/>
          <w:sz w:val="20"/>
          <w:szCs w:val="20"/>
        </w:rPr>
        <w:t>nos, de cara a identificar</w:t>
      </w:r>
      <w:r>
        <w:rPr>
          <w:rFonts w:ascii="Arial" w:hAnsi="Arial" w:cs="Arial"/>
          <w:sz w:val="20"/>
          <w:szCs w:val="20"/>
        </w:rPr>
        <w:t xml:space="preserve"> sesgos inconscientes y actitudes discriminatorias, </w:t>
      </w:r>
      <w:r w:rsidR="00E166D1">
        <w:rPr>
          <w:rFonts w:ascii="Arial" w:hAnsi="Arial" w:cs="Arial"/>
          <w:sz w:val="20"/>
          <w:szCs w:val="20"/>
        </w:rPr>
        <w:t xml:space="preserve">combinada con otra encuesta a 600 desempleados mayores de 55 años. Todo ello utilizando como contexto los </w:t>
      </w:r>
      <w:r>
        <w:rPr>
          <w:rFonts w:ascii="Arial" w:hAnsi="Arial" w:cs="Arial"/>
          <w:sz w:val="20"/>
          <w:szCs w:val="20"/>
        </w:rPr>
        <w:t>últimos datos de la Encuesta de Población Activa (EPA).</w:t>
      </w:r>
    </w:p>
    <w:p w:rsidR="00CD7977" w:rsidRDefault="00CD7977" w:rsidP="00CD2338">
      <w:pPr>
        <w:jc w:val="both"/>
        <w:rPr>
          <w:rFonts w:ascii="Arial" w:hAnsi="Arial" w:cs="Arial"/>
          <w:b/>
          <w:color w:val="7F7F7F" w:themeColor="text1" w:themeTint="80"/>
        </w:rPr>
      </w:pPr>
    </w:p>
    <w:p w:rsidR="00CD7977" w:rsidRDefault="00CD7977" w:rsidP="00CD2338">
      <w:pPr>
        <w:jc w:val="both"/>
        <w:rPr>
          <w:rFonts w:ascii="Arial" w:hAnsi="Arial" w:cs="Arial"/>
          <w:b/>
          <w:color w:val="7F7F7F" w:themeColor="text1" w:themeTint="80"/>
        </w:rPr>
      </w:pPr>
    </w:p>
    <w:p w:rsidR="00CD2338" w:rsidRPr="0054292F" w:rsidRDefault="0054292F" w:rsidP="00CD2338">
      <w:pPr>
        <w:jc w:val="both"/>
        <w:rPr>
          <w:rFonts w:ascii="Arial" w:hAnsi="Arial" w:cs="Arial"/>
          <w:b/>
          <w:color w:val="7F7F7F" w:themeColor="text1" w:themeTint="80"/>
        </w:rPr>
      </w:pPr>
      <w:r w:rsidRPr="0054292F">
        <w:rPr>
          <w:rFonts w:ascii="Arial" w:hAnsi="Arial" w:cs="Arial"/>
          <w:b/>
          <w:color w:val="7F7F7F" w:themeColor="text1" w:themeTint="80"/>
        </w:rPr>
        <w:t>El desempleo crece</w:t>
      </w:r>
      <w:r>
        <w:rPr>
          <w:rFonts w:ascii="Arial" w:hAnsi="Arial" w:cs="Arial"/>
          <w:b/>
          <w:color w:val="7F7F7F" w:themeColor="text1" w:themeTint="80"/>
        </w:rPr>
        <w:t>,</w:t>
      </w:r>
      <w:r w:rsidRPr="0054292F">
        <w:rPr>
          <w:rFonts w:ascii="Arial" w:hAnsi="Arial" w:cs="Arial"/>
          <w:b/>
          <w:color w:val="7F7F7F" w:themeColor="text1" w:themeTint="80"/>
        </w:rPr>
        <w:t xml:space="preserve"> solo </w:t>
      </w:r>
      <w:r>
        <w:rPr>
          <w:rFonts w:ascii="Arial" w:hAnsi="Arial" w:cs="Arial"/>
          <w:b/>
          <w:color w:val="7F7F7F" w:themeColor="text1" w:themeTint="80"/>
        </w:rPr>
        <w:t>entre los senior</w:t>
      </w:r>
      <w:r w:rsidR="0083462F">
        <w:rPr>
          <w:rFonts w:ascii="Arial" w:hAnsi="Arial" w:cs="Arial"/>
          <w:b/>
          <w:color w:val="7F7F7F" w:themeColor="text1" w:themeTint="80"/>
        </w:rPr>
        <w:t>s</w:t>
      </w:r>
    </w:p>
    <w:p w:rsidR="0054292F" w:rsidRDefault="00900A4D" w:rsidP="00CD2338">
      <w:pPr>
        <w:jc w:val="both"/>
        <w:rPr>
          <w:rFonts w:ascii="Arial" w:hAnsi="Arial" w:cs="Arial"/>
          <w:sz w:val="20"/>
          <w:szCs w:val="20"/>
        </w:rPr>
      </w:pPr>
      <w:r>
        <w:rPr>
          <w:rFonts w:ascii="Arial" w:hAnsi="Arial" w:cs="Arial"/>
          <w:sz w:val="20"/>
          <w:szCs w:val="20"/>
        </w:rPr>
        <w:t xml:space="preserve">Los desempleados de más edad </w:t>
      </w:r>
      <w:r w:rsidR="00CD2338" w:rsidRPr="00700DA2">
        <w:rPr>
          <w:rFonts w:ascii="Arial" w:hAnsi="Arial" w:cs="Arial"/>
          <w:sz w:val="20"/>
          <w:szCs w:val="20"/>
        </w:rPr>
        <w:t>constituyen uno de los segmentos más vulnera</w:t>
      </w:r>
      <w:r w:rsidR="0054292F">
        <w:rPr>
          <w:rFonts w:ascii="Arial" w:hAnsi="Arial" w:cs="Arial"/>
          <w:sz w:val="20"/>
          <w:szCs w:val="20"/>
        </w:rPr>
        <w:t xml:space="preserve">bles de nuestro mercado laboral y las cifras así lo avalan: </w:t>
      </w:r>
      <w:r w:rsidR="0054292F" w:rsidRPr="0054292F">
        <w:rPr>
          <w:rFonts w:ascii="Arial" w:hAnsi="Arial" w:cs="Arial"/>
          <w:b/>
          <w:sz w:val="20"/>
          <w:szCs w:val="20"/>
        </w:rPr>
        <w:t>durante el último año, han sido el único grupo de edad que ha visto incrementar su número de parados, en contra de la tendencia.</w:t>
      </w:r>
    </w:p>
    <w:p w:rsidR="00CD2338" w:rsidRDefault="00A12F07" w:rsidP="00CD2338">
      <w:pPr>
        <w:jc w:val="both"/>
        <w:rPr>
          <w:rFonts w:ascii="Arial" w:hAnsi="Arial" w:cs="Arial"/>
          <w:sz w:val="20"/>
          <w:szCs w:val="20"/>
        </w:rPr>
      </w:pPr>
      <w:r>
        <w:rPr>
          <w:rFonts w:ascii="Arial" w:hAnsi="Arial" w:cs="Arial"/>
          <w:sz w:val="20"/>
          <w:szCs w:val="20"/>
        </w:rPr>
        <w:t xml:space="preserve">Así, si 2018 se cerró </w:t>
      </w:r>
      <w:r w:rsidR="00CD2338">
        <w:rPr>
          <w:rFonts w:ascii="Arial" w:hAnsi="Arial" w:cs="Arial"/>
          <w:sz w:val="20"/>
          <w:szCs w:val="20"/>
        </w:rPr>
        <w:t>un</w:t>
      </w:r>
      <w:r w:rsidR="0054292F">
        <w:rPr>
          <w:rFonts w:ascii="Arial" w:hAnsi="Arial" w:cs="Arial"/>
          <w:sz w:val="20"/>
          <w:szCs w:val="20"/>
        </w:rPr>
        <w:t xml:space="preserve"> 12% menos</w:t>
      </w:r>
      <w:r>
        <w:rPr>
          <w:rFonts w:ascii="Arial" w:hAnsi="Arial" w:cs="Arial"/>
          <w:sz w:val="20"/>
          <w:szCs w:val="20"/>
        </w:rPr>
        <w:t xml:space="preserve"> de desempleados</w:t>
      </w:r>
      <w:r w:rsidR="0054292F">
        <w:rPr>
          <w:rFonts w:ascii="Arial" w:hAnsi="Arial" w:cs="Arial"/>
          <w:sz w:val="20"/>
          <w:szCs w:val="20"/>
        </w:rPr>
        <w:t xml:space="preserve"> que el año anterior, aquéllos </w:t>
      </w:r>
      <w:r w:rsidR="00CD2338">
        <w:rPr>
          <w:rFonts w:ascii="Arial" w:hAnsi="Arial" w:cs="Arial"/>
          <w:sz w:val="20"/>
          <w:szCs w:val="20"/>
        </w:rPr>
        <w:t>con edades comprendidas entre</w:t>
      </w:r>
      <w:r w:rsidR="0054292F">
        <w:rPr>
          <w:rFonts w:ascii="Arial" w:hAnsi="Arial" w:cs="Arial"/>
          <w:sz w:val="20"/>
          <w:szCs w:val="20"/>
        </w:rPr>
        <w:t xml:space="preserve"> los</w:t>
      </w:r>
      <w:r w:rsidR="00CD2338">
        <w:rPr>
          <w:rFonts w:ascii="Arial" w:hAnsi="Arial" w:cs="Arial"/>
          <w:sz w:val="20"/>
          <w:szCs w:val="20"/>
        </w:rPr>
        <w:t xml:space="preserve"> 60 y 64 años crecieron un 3% y </w:t>
      </w:r>
      <w:r w:rsidR="0054292F">
        <w:rPr>
          <w:rFonts w:ascii="Arial" w:hAnsi="Arial" w:cs="Arial"/>
          <w:sz w:val="20"/>
          <w:szCs w:val="20"/>
        </w:rPr>
        <w:t>los que tienen</w:t>
      </w:r>
      <w:r w:rsidR="00CD2338">
        <w:rPr>
          <w:rFonts w:ascii="Arial" w:hAnsi="Arial" w:cs="Arial"/>
          <w:sz w:val="20"/>
          <w:szCs w:val="20"/>
        </w:rPr>
        <w:t xml:space="preserve"> entre 65 y 69</w:t>
      </w:r>
      <w:r w:rsidR="00415991">
        <w:rPr>
          <w:rFonts w:ascii="Arial" w:hAnsi="Arial" w:cs="Arial"/>
          <w:sz w:val="20"/>
          <w:szCs w:val="20"/>
        </w:rPr>
        <w:t xml:space="preserve"> años</w:t>
      </w:r>
      <w:r w:rsidR="0054292F">
        <w:rPr>
          <w:rFonts w:ascii="Arial" w:hAnsi="Arial" w:cs="Arial"/>
          <w:sz w:val="20"/>
          <w:szCs w:val="20"/>
        </w:rPr>
        <w:t xml:space="preserve"> </w:t>
      </w:r>
      <w:r w:rsidR="00CD2338">
        <w:rPr>
          <w:rFonts w:ascii="Arial" w:hAnsi="Arial" w:cs="Arial"/>
          <w:sz w:val="20"/>
          <w:szCs w:val="20"/>
        </w:rPr>
        <w:t xml:space="preserve">un 30%.  </w:t>
      </w:r>
      <w:r w:rsidR="00CD2338">
        <w:rPr>
          <w:rFonts w:ascii="Arial" w:hAnsi="Arial" w:cs="Arial"/>
          <w:b/>
          <w:sz w:val="20"/>
          <w:szCs w:val="20"/>
        </w:rPr>
        <w:t>Fueron las mujeres las principales</w:t>
      </w:r>
      <w:r w:rsidR="00CD2338" w:rsidRPr="00812C48">
        <w:rPr>
          <w:rFonts w:ascii="Arial" w:hAnsi="Arial" w:cs="Arial"/>
          <w:b/>
          <w:sz w:val="20"/>
          <w:szCs w:val="20"/>
        </w:rPr>
        <w:t xml:space="preserve"> damnif</w:t>
      </w:r>
      <w:r w:rsidR="00CD2338">
        <w:rPr>
          <w:rFonts w:ascii="Arial" w:hAnsi="Arial" w:cs="Arial"/>
          <w:b/>
          <w:sz w:val="20"/>
          <w:szCs w:val="20"/>
        </w:rPr>
        <w:t>icadas por este incremento de desempleados</w:t>
      </w:r>
      <w:r w:rsidR="00CD2338">
        <w:rPr>
          <w:rFonts w:ascii="Arial" w:hAnsi="Arial" w:cs="Arial"/>
          <w:sz w:val="20"/>
          <w:szCs w:val="20"/>
        </w:rPr>
        <w:t>, ascendiendo las citadas cifras a un 11% y a un 69%, respectivamente, frente al descenso generalizado del paro femenino (-11%), mientras que el desempleo entre los hombres de 65 a 69 años ascendió un 5%.</w:t>
      </w:r>
    </w:p>
    <w:p w:rsidR="00CD2338" w:rsidRDefault="00900A4D" w:rsidP="0016193D">
      <w:pPr>
        <w:jc w:val="center"/>
        <w:rPr>
          <w:rFonts w:ascii="Arial" w:hAnsi="Arial" w:cs="Arial"/>
          <w:b/>
          <w:color w:val="FF0000"/>
          <w:sz w:val="20"/>
          <w:szCs w:val="20"/>
        </w:rPr>
      </w:pPr>
      <w:r>
        <w:rPr>
          <w:noProof/>
        </w:rPr>
        <w:drawing>
          <wp:inline distT="0" distB="0" distL="0" distR="0" wp14:anchorId="7B6EECC4" wp14:editId="77EA5DF0">
            <wp:extent cx="5400040" cy="3656330"/>
            <wp:effectExtent l="0" t="0" r="10160" b="1270"/>
            <wp:docPr id="1" name="Gráfico 1">
              <a:extLst xmlns:a="http://schemas.openxmlformats.org/drawingml/2006/main">
                <a:ext uri="{FF2B5EF4-FFF2-40B4-BE49-F238E27FC236}">
                  <a16:creationId xmlns:a16="http://schemas.microsoft.com/office/drawing/2014/main" id="{1BE45098-5D19-4BF2-A78E-7B743498EB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0064" w:rsidRPr="0016193D" w:rsidRDefault="00A50064" w:rsidP="0016193D">
      <w:pPr>
        <w:jc w:val="center"/>
        <w:rPr>
          <w:rFonts w:ascii="Arial" w:hAnsi="Arial" w:cs="Arial"/>
          <w:b/>
          <w:color w:val="FF0000"/>
          <w:sz w:val="20"/>
          <w:szCs w:val="20"/>
        </w:rPr>
      </w:pPr>
      <w:r w:rsidRPr="00293855">
        <w:rPr>
          <w:rFonts w:ascii="Arial" w:hAnsi="Arial" w:cs="Arial"/>
          <w:bCs/>
          <w:iCs/>
          <w:color w:val="0D0D0D"/>
          <w:sz w:val="18"/>
          <w:szCs w:val="18"/>
        </w:rPr>
        <w:t>Fuente: Elaboración propia en base a datos EPA. Comparativa 4T 2018-2017</w:t>
      </w:r>
      <w:r>
        <w:rPr>
          <w:rFonts w:ascii="Arial" w:hAnsi="Arial" w:cs="Arial"/>
          <w:bCs/>
          <w:iCs/>
          <w:color w:val="0D0D0D"/>
          <w:sz w:val="18"/>
          <w:szCs w:val="18"/>
        </w:rPr>
        <w:t>. En miles</w:t>
      </w:r>
    </w:p>
    <w:tbl>
      <w:tblPr>
        <w:tblW w:w="8661" w:type="dxa"/>
        <w:tblCellMar>
          <w:left w:w="70" w:type="dxa"/>
          <w:right w:w="70" w:type="dxa"/>
        </w:tblCellMar>
        <w:tblLook w:val="04A0" w:firstRow="1" w:lastRow="0" w:firstColumn="1" w:lastColumn="0" w:noHBand="0" w:noVBand="1"/>
      </w:tblPr>
      <w:tblGrid>
        <w:gridCol w:w="1780"/>
        <w:gridCol w:w="1158"/>
        <w:gridCol w:w="1157"/>
        <w:gridCol w:w="1085"/>
        <w:gridCol w:w="1185"/>
        <w:gridCol w:w="1185"/>
        <w:gridCol w:w="1111"/>
      </w:tblGrid>
      <w:tr w:rsidR="0016193D" w:rsidRPr="0016193D" w:rsidTr="0016193D">
        <w:trPr>
          <w:trHeight w:val="270"/>
        </w:trPr>
        <w:tc>
          <w:tcPr>
            <w:tcW w:w="1780" w:type="dxa"/>
            <w:tcBorders>
              <w:top w:val="nil"/>
              <w:left w:val="nil"/>
              <w:bottom w:val="nil"/>
              <w:right w:val="nil"/>
            </w:tcBorders>
            <w:shd w:val="clear" w:color="auto" w:fill="auto"/>
            <w:noWrap/>
            <w:vAlign w:val="bottom"/>
            <w:hideMark/>
          </w:tcPr>
          <w:p w:rsidR="0016193D" w:rsidRPr="0016193D" w:rsidRDefault="0016193D" w:rsidP="0016193D">
            <w:pPr>
              <w:spacing w:after="0" w:line="240" w:lineRule="auto"/>
              <w:rPr>
                <w:rFonts w:ascii="Times New Roman" w:eastAsia="Times New Roman" w:hAnsi="Times New Roman" w:cs="Times New Roman"/>
                <w:sz w:val="24"/>
                <w:szCs w:val="24"/>
                <w:lang w:eastAsia="es-ES"/>
              </w:rPr>
            </w:pPr>
          </w:p>
        </w:tc>
        <w:tc>
          <w:tcPr>
            <w:tcW w:w="3400" w:type="dxa"/>
            <w:gridSpan w:val="3"/>
            <w:tcBorders>
              <w:top w:val="single" w:sz="8" w:space="0" w:color="auto"/>
              <w:left w:val="single" w:sz="4" w:space="0" w:color="auto"/>
              <w:bottom w:val="nil"/>
              <w:right w:val="single" w:sz="4" w:space="0" w:color="000000"/>
            </w:tcBorders>
            <w:shd w:val="clear" w:color="000000" w:fill="5CB8B2"/>
            <w:noWrap/>
            <w:vAlign w:val="center"/>
            <w:hideMark/>
          </w:tcPr>
          <w:p w:rsidR="0016193D" w:rsidRPr="0016193D" w:rsidRDefault="0016193D" w:rsidP="0016193D">
            <w:pPr>
              <w:spacing w:after="0" w:line="240" w:lineRule="auto"/>
              <w:jc w:val="center"/>
              <w:rPr>
                <w:rFonts w:ascii="Arial" w:eastAsia="Times New Roman" w:hAnsi="Arial" w:cs="Arial"/>
                <w:b/>
                <w:bCs/>
                <w:color w:val="333333"/>
                <w:sz w:val="18"/>
                <w:szCs w:val="18"/>
                <w:lang w:eastAsia="es-ES"/>
              </w:rPr>
            </w:pPr>
            <w:r w:rsidRPr="0016193D">
              <w:rPr>
                <w:rFonts w:ascii="Arial" w:eastAsia="Times New Roman" w:hAnsi="Arial" w:cs="Arial"/>
                <w:b/>
                <w:bCs/>
                <w:color w:val="333333"/>
                <w:sz w:val="18"/>
                <w:szCs w:val="18"/>
                <w:lang w:eastAsia="es-ES"/>
              </w:rPr>
              <w:t xml:space="preserve">HOMBRES +55 </w:t>
            </w:r>
          </w:p>
        </w:tc>
        <w:tc>
          <w:tcPr>
            <w:tcW w:w="3481" w:type="dxa"/>
            <w:gridSpan w:val="3"/>
            <w:tcBorders>
              <w:top w:val="single" w:sz="8" w:space="0" w:color="auto"/>
              <w:left w:val="nil"/>
              <w:bottom w:val="nil"/>
              <w:right w:val="single" w:sz="8" w:space="0" w:color="000000"/>
            </w:tcBorders>
            <w:shd w:val="clear" w:color="000000" w:fill="5CB8B2"/>
            <w:noWrap/>
            <w:vAlign w:val="center"/>
            <w:hideMark/>
          </w:tcPr>
          <w:p w:rsidR="0016193D" w:rsidRPr="0016193D" w:rsidRDefault="0016193D" w:rsidP="0016193D">
            <w:pPr>
              <w:spacing w:after="0" w:line="240" w:lineRule="auto"/>
              <w:jc w:val="center"/>
              <w:rPr>
                <w:rFonts w:ascii="Arial" w:eastAsia="Times New Roman" w:hAnsi="Arial" w:cs="Arial"/>
                <w:b/>
                <w:bCs/>
                <w:color w:val="333333"/>
                <w:sz w:val="18"/>
                <w:szCs w:val="18"/>
                <w:lang w:eastAsia="es-ES"/>
              </w:rPr>
            </w:pPr>
            <w:r w:rsidRPr="0016193D">
              <w:rPr>
                <w:rFonts w:ascii="Arial" w:eastAsia="Times New Roman" w:hAnsi="Arial" w:cs="Arial"/>
                <w:b/>
                <w:bCs/>
                <w:color w:val="333333"/>
                <w:sz w:val="18"/>
                <w:szCs w:val="18"/>
                <w:lang w:eastAsia="es-ES"/>
              </w:rPr>
              <w:t>MUJERES +55</w:t>
            </w:r>
          </w:p>
        </w:tc>
      </w:tr>
      <w:tr w:rsidR="0016193D" w:rsidRPr="0016193D" w:rsidTr="0016193D">
        <w:trPr>
          <w:trHeight w:val="255"/>
        </w:trPr>
        <w:tc>
          <w:tcPr>
            <w:tcW w:w="1780" w:type="dxa"/>
            <w:tcBorders>
              <w:top w:val="single" w:sz="8" w:space="0" w:color="auto"/>
              <w:left w:val="single" w:sz="8" w:space="0" w:color="auto"/>
              <w:bottom w:val="single" w:sz="4" w:space="0" w:color="auto"/>
              <w:right w:val="single" w:sz="4" w:space="0" w:color="auto"/>
            </w:tcBorders>
            <w:shd w:val="clear" w:color="000000" w:fill="F3F4F7"/>
            <w:noWrap/>
            <w:vAlign w:val="bottom"/>
            <w:hideMark/>
          </w:tcPr>
          <w:p w:rsidR="0016193D" w:rsidRPr="0016193D" w:rsidRDefault="0016193D" w:rsidP="0016193D">
            <w:pPr>
              <w:spacing w:after="0" w:line="240" w:lineRule="auto"/>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De 55 a 59 años</w:t>
            </w:r>
          </w:p>
        </w:tc>
        <w:tc>
          <w:tcPr>
            <w:tcW w:w="1158" w:type="dxa"/>
            <w:tcBorders>
              <w:top w:val="single" w:sz="8" w:space="0" w:color="auto"/>
              <w:left w:val="nil"/>
              <w:bottom w:val="single" w:sz="4" w:space="0" w:color="auto"/>
              <w:right w:val="single" w:sz="4" w:space="0" w:color="auto"/>
            </w:tcBorders>
            <w:shd w:val="clear" w:color="000000" w:fill="F3F4F7"/>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156,5</w:t>
            </w:r>
          </w:p>
        </w:tc>
        <w:tc>
          <w:tcPr>
            <w:tcW w:w="1157" w:type="dxa"/>
            <w:tcBorders>
              <w:top w:val="single" w:sz="8" w:space="0" w:color="auto"/>
              <w:left w:val="nil"/>
              <w:bottom w:val="single" w:sz="4" w:space="0" w:color="auto"/>
              <w:right w:val="single" w:sz="4" w:space="0" w:color="auto"/>
            </w:tcBorders>
            <w:shd w:val="clear" w:color="000000" w:fill="F3F4F7"/>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192,5</w:t>
            </w:r>
          </w:p>
        </w:tc>
        <w:tc>
          <w:tcPr>
            <w:tcW w:w="1085" w:type="dxa"/>
            <w:tcBorders>
              <w:top w:val="single" w:sz="8" w:space="0" w:color="auto"/>
              <w:left w:val="nil"/>
              <w:bottom w:val="single" w:sz="4" w:space="0" w:color="auto"/>
              <w:right w:val="single" w:sz="4" w:space="0" w:color="auto"/>
            </w:tcBorders>
            <w:shd w:val="clear" w:color="000000" w:fill="F3F4F7"/>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-19%</w:t>
            </w:r>
          </w:p>
        </w:tc>
        <w:tc>
          <w:tcPr>
            <w:tcW w:w="1185" w:type="dxa"/>
            <w:tcBorders>
              <w:top w:val="single" w:sz="8" w:space="0" w:color="auto"/>
              <w:left w:val="nil"/>
              <w:bottom w:val="single" w:sz="4" w:space="0" w:color="auto"/>
              <w:right w:val="single" w:sz="4" w:space="0" w:color="auto"/>
            </w:tcBorders>
            <w:shd w:val="clear" w:color="000000" w:fill="F3F4F7"/>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156,2</w:t>
            </w:r>
          </w:p>
        </w:tc>
        <w:tc>
          <w:tcPr>
            <w:tcW w:w="1185" w:type="dxa"/>
            <w:tcBorders>
              <w:top w:val="single" w:sz="8" w:space="0" w:color="auto"/>
              <w:left w:val="nil"/>
              <w:bottom w:val="single" w:sz="4" w:space="0" w:color="auto"/>
              <w:right w:val="single" w:sz="4" w:space="0" w:color="auto"/>
            </w:tcBorders>
            <w:shd w:val="clear" w:color="000000" w:fill="F3F4F7"/>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161,4</w:t>
            </w:r>
          </w:p>
        </w:tc>
        <w:tc>
          <w:tcPr>
            <w:tcW w:w="1111" w:type="dxa"/>
            <w:tcBorders>
              <w:top w:val="single" w:sz="8" w:space="0" w:color="auto"/>
              <w:left w:val="nil"/>
              <w:bottom w:val="single" w:sz="4" w:space="0" w:color="auto"/>
              <w:right w:val="single" w:sz="8" w:space="0" w:color="auto"/>
            </w:tcBorders>
            <w:shd w:val="clear" w:color="000000" w:fill="F3F4F7"/>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-3%</w:t>
            </w:r>
          </w:p>
        </w:tc>
      </w:tr>
      <w:tr w:rsidR="0016193D" w:rsidRPr="0016193D" w:rsidTr="0016193D">
        <w:trPr>
          <w:trHeight w:val="255"/>
        </w:trPr>
        <w:tc>
          <w:tcPr>
            <w:tcW w:w="1780" w:type="dxa"/>
            <w:tcBorders>
              <w:top w:val="nil"/>
              <w:left w:val="single" w:sz="8" w:space="0" w:color="auto"/>
              <w:bottom w:val="single" w:sz="4" w:space="0" w:color="auto"/>
              <w:right w:val="single" w:sz="4" w:space="0" w:color="auto"/>
            </w:tcBorders>
            <w:shd w:val="clear" w:color="000000" w:fill="D9D9D9"/>
            <w:noWrap/>
            <w:vAlign w:val="bottom"/>
            <w:hideMark/>
          </w:tcPr>
          <w:p w:rsidR="0016193D" w:rsidRPr="0016193D" w:rsidRDefault="0016193D" w:rsidP="0016193D">
            <w:pPr>
              <w:spacing w:after="0" w:line="240" w:lineRule="auto"/>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De 60 a 64 años</w:t>
            </w:r>
          </w:p>
        </w:tc>
        <w:tc>
          <w:tcPr>
            <w:tcW w:w="1158" w:type="dxa"/>
            <w:tcBorders>
              <w:top w:val="nil"/>
              <w:left w:val="nil"/>
              <w:bottom w:val="single" w:sz="4" w:space="0" w:color="auto"/>
              <w:right w:val="single" w:sz="4" w:space="0" w:color="auto"/>
            </w:tcBorders>
            <w:shd w:val="clear" w:color="000000" w:fill="D9D9D9"/>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86,7</w:t>
            </w:r>
          </w:p>
        </w:tc>
        <w:tc>
          <w:tcPr>
            <w:tcW w:w="1157" w:type="dxa"/>
            <w:tcBorders>
              <w:top w:val="nil"/>
              <w:left w:val="nil"/>
              <w:bottom w:val="single" w:sz="4" w:space="0" w:color="auto"/>
              <w:right w:val="single" w:sz="4" w:space="0" w:color="auto"/>
            </w:tcBorders>
            <w:shd w:val="clear" w:color="000000" w:fill="D9D9D9"/>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90,4</w:t>
            </w:r>
          </w:p>
        </w:tc>
        <w:tc>
          <w:tcPr>
            <w:tcW w:w="1085" w:type="dxa"/>
            <w:tcBorders>
              <w:top w:val="nil"/>
              <w:left w:val="nil"/>
              <w:bottom w:val="single" w:sz="4" w:space="0" w:color="auto"/>
              <w:right w:val="single" w:sz="4" w:space="0" w:color="auto"/>
            </w:tcBorders>
            <w:shd w:val="clear" w:color="000000" w:fill="D9D9D9"/>
            <w:noWrap/>
            <w:vAlign w:val="bottom"/>
            <w:hideMark/>
          </w:tcPr>
          <w:p w:rsidR="0016193D" w:rsidRPr="0016193D" w:rsidRDefault="0016193D" w:rsidP="0016193D">
            <w:pPr>
              <w:spacing w:after="0" w:line="240" w:lineRule="auto"/>
              <w:jc w:val="right"/>
              <w:rPr>
                <w:rFonts w:ascii="Arial" w:eastAsia="Times New Roman" w:hAnsi="Arial" w:cs="Arial"/>
                <w:b/>
                <w:bCs/>
                <w:color w:val="333333"/>
                <w:sz w:val="18"/>
                <w:szCs w:val="18"/>
                <w:lang w:eastAsia="es-ES"/>
              </w:rPr>
            </w:pPr>
            <w:r w:rsidRPr="0016193D">
              <w:rPr>
                <w:rFonts w:ascii="Arial" w:eastAsia="Times New Roman" w:hAnsi="Arial" w:cs="Arial"/>
                <w:b/>
                <w:bCs/>
                <w:color w:val="333333"/>
                <w:sz w:val="18"/>
                <w:szCs w:val="18"/>
                <w:lang w:eastAsia="es-ES"/>
              </w:rPr>
              <w:t>-4%</w:t>
            </w:r>
          </w:p>
        </w:tc>
        <w:tc>
          <w:tcPr>
            <w:tcW w:w="1185" w:type="dxa"/>
            <w:tcBorders>
              <w:top w:val="nil"/>
              <w:left w:val="nil"/>
              <w:bottom w:val="single" w:sz="4" w:space="0" w:color="auto"/>
              <w:right w:val="single" w:sz="4" w:space="0" w:color="auto"/>
            </w:tcBorders>
            <w:shd w:val="clear" w:color="000000" w:fill="D9D9D9"/>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88,4</w:t>
            </w:r>
          </w:p>
        </w:tc>
        <w:tc>
          <w:tcPr>
            <w:tcW w:w="1185" w:type="dxa"/>
            <w:tcBorders>
              <w:top w:val="nil"/>
              <w:left w:val="nil"/>
              <w:bottom w:val="single" w:sz="4" w:space="0" w:color="auto"/>
              <w:right w:val="single" w:sz="4" w:space="0" w:color="auto"/>
            </w:tcBorders>
            <w:shd w:val="clear" w:color="000000" w:fill="D9D9D9"/>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80,0</w:t>
            </w:r>
          </w:p>
        </w:tc>
        <w:tc>
          <w:tcPr>
            <w:tcW w:w="1111" w:type="dxa"/>
            <w:tcBorders>
              <w:top w:val="nil"/>
              <w:left w:val="nil"/>
              <w:bottom w:val="single" w:sz="4" w:space="0" w:color="auto"/>
              <w:right w:val="single" w:sz="8" w:space="0" w:color="auto"/>
            </w:tcBorders>
            <w:shd w:val="clear" w:color="000000" w:fill="D9D9D9"/>
            <w:noWrap/>
            <w:vAlign w:val="bottom"/>
            <w:hideMark/>
          </w:tcPr>
          <w:p w:rsidR="0016193D" w:rsidRPr="0016193D" w:rsidRDefault="0016193D" w:rsidP="0016193D">
            <w:pPr>
              <w:spacing w:after="0" w:line="240" w:lineRule="auto"/>
              <w:jc w:val="right"/>
              <w:rPr>
                <w:rFonts w:ascii="Arial" w:eastAsia="Times New Roman" w:hAnsi="Arial" w:cs="Arial"/>
                <w:b/>
                <w:bCs/>
                <w:color w:val="333333"/>
                <w:sz w:val="18"/>
                <w:szCs w:val="18"/>
                <w:lang w:eastAsia="es-ES"/>
              </w:rPr>
            </w:pPr>
            <w:r w:rsidRPr="0016193D">
              <w:rPr>
                <w:rFonts w:ascii="Arial" w:eastAsia="Times New Roman" w:hAnsi="Arial" w:cs="Arial"/>
                <w:b/>
                <w:bCs/>
                <w:color w:val="333333"/>
                <w:sz w:val="18"/>
                <w:szCs w:val="18"/>
                <w:lang w:eastAsia="es-ES"/>
              </w:rPr>
              <w:t>11%</w:t>
            </w:r>
          </w:p>
        </w:tc>
      </w:tr>
      <w:tr w:rsidR="0016193D" w:rsidRPr="0016193D" w:rsidTr="0016193D">
        <w:trPr>
          <w:trHeight w:val="255"/>
        </w:trPr>
        <w:tc>
          <w:tcPr>
            <w:tcW w:w="1780" w:type="dxa"/>
            <w:tcBorders>
              <w:top w:val="nil"/>
              <w:left w:val="single" w:sz="8" w:space="0" w:color="auto"/>
              <w:bottom w:val="single" w:sz="4" w:space="0" w:color="auto"/>
              <w:right w:val="single" w:sz="4" w:space="0" w:color="auto"/>
            </w:tcBorders>
            <w:shd w:val="clear" w:color="000000" w:fill="D9D9D9"/>
            <w:noWrap/>
            <w:vAlign w:val="bottom"/>
            <w:hideMark/>
          </w:tcPr>
          <w:p w:rsidR="0016193D" w:rsidRPr="0016193D" w:rsidRDefault="0016193D" w:rsidP="0016193D">
            <w:pPr>
              <w:spacing w:after="0" w:line="240" w:lineRule="auto"/>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De 65 a 69 años</w:t>
            </w:r>
          </w:p>
        </w:tc>
        <w:tc>
          <w:tcPr>
            <w:tcW w:w="1158" w:type="dxa"/>
            <w:tcBorders>
              <w:top w:val="nil"/>
              <w:left w:val="nil"/>
              <w:bottom w:val="single" w:sz="4" w:space="0" w:color="auto"/>
              <w:right w:val="single" w:sz="4" w:space="0" w:color="auto"/>
            </w:tcBorders>
            <w:shd w:val="clear" w:color="000000" w:fill="D9D9D9"/>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4,6</w:t>
            </w:r>
          </w:p>
        </w:tc>
        <w:tc>
          <w:tcPr>
            <w:tcW w:w="1157" w:type="dxa"/>
            <w:tcBorders>
              <w:top w:val="nil"/>
              <w:left w:val="nil"/>
              <w:bottom w:val="single" w:sz="4" w:space="0" w:color="auto"/>
              <w:right w:val="single" w:sz="4" w:space="0" w:color="auto"/>
            </w:tcBorders>
            <w:shd w:val="clear" w:color="000000" w:fill="D9D9D9"/>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4,4</w:t>
            </w:r>
          </w:p>
        </w:tc>
        <w:tc>
          <w:tcPr>
            <w:tcW w:w="1085" w:type="dxa"/>
            <w:tcBorders>
              <w:top w:val="nil"/>
              <w:left w:val="nil"/>
              <w:bottom w:val="single" w:sz="4" w:space="0" w:color="auto"/>
              <w:right w:val="single" w:sz="4" w:space="0" w:color="auto"/>
            </w:tcBorders>
            <w:shd w:val="clear" w:color="000000" w:fill="D9D9D9"/>
            <w:noWrap/>
            <w:vAlign w:val="bottom"/>
            <w:hideMark/>
          </w:tcPr>
          <w:p w:rsidR="0016193D" w:rsidRPr="0016193D" w:rsidRDefault="0016193D" w:rsidP="0016193D">
            <w:pPr>
              <w:spacing w:after="0" w:line="240" w:lineRule="auto"/>
              <w:jc w:val="right"/>
              <w:rPr>
                <w:rFonts w:ascii="Arial" w:eastAsia="Times New Roman" w:hAnsi="Arial" w:cs="Arial"/>
                <w:b/>
                <w:bCs/>
                <w:color w:val="333333"/>
                <w:sz w:val="18"/>
                <w:szCs w:val="18"/>
                <w:lang w:eastAsia="es-ES"/>
              </w:rPr>
            </w:pPr>
            <w:r w:rsidRPr="0016193D">
              <w:rPr>
                <w:rFonts w:ascii="Arial" w:eastAsia="Times New Roman" w:hAnsi="Arial" w:cs="Arial"/>
                <w:b/>
                <w:bCs/>
                <w:color w:val="333333"/>
                <w:sz w:val="18"/>
                <w:szCs w:val="18"/>
                <w:lang w:eastAsia="es-ES"/>
              </w:rPr>
              <w:t>5%</w:t>
            </w:r>
          </w:p>
        </w:tc>
        <w:tc>
          <w:tcPr>
            <w:tcW w:w="1185" w:type="dxa"/>
            <w:tcBorders>
              <w:top w:val="nil"/>
              <w:left w:val="nil"/>
              <w:bottom w:val="single" w:sz="4" w:space="0" w:color="auto"/>
              <w:right w:val="single" w:sz="4" w:space="0" w:color="auto"/>
            </w:tcBorders>
            <w:shd w:val="clear" w:color="000000" w:fill="D9D9D9"/>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4,9</w:t>
            </w:r>
          </w:p>
        </w:tc>
        <w:tc>
          <w:tcPr>
            <w:tcW w:w="1185" w:type="dxa"/>
            <w:tcBorders>
              <w:top w:val="nil"/>
              <w:left w:val="nil"/>
              <w:bottom w:val="single" w:sz="4" w:space="0" w:color="auto"/>
              <w:right w:val="single" w:sz="4" w:space="0" w:color="auto"/>
            </w:tcBorders>
            <w:shd w:val="clear" w:color="000000" w:fill="D9D9D9"/>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2,9</w:t>
            </w:r>
          </w:p>
        </w:tc>
        <w:tc>
          <w:tcPr>
            <w:tcW w:w="1111" w:type="dxa"/>
            <w:tcBorders>
              <w:top w:val="nil"/>
              <w:left w:val="nil"/>
              <w:bottom w:val="single" w:sz="4" w:space="0" w:color="auto"/>
              <w:right w:val="single" w:sz="8" w:space="0" w:color="auto"/>
            </w:tcBorders>
            <w:shd w:val="clear" w:color="000000" w:fill="D9D9D9"/>
            <w:noWrap/>
            <w:vAlign w:val="bottom"/>
            <w:hideMark/>
          </w:tcPr>
          <w:p w:rsidR="0016193D" w:rsidRPr="0016193D" w:rsidRDefault="0016193D" w:rsidP="0016193D">
            <w:pPr>
              <w:spacing w:after="0" w:line="240" w:lineRule="auto"/>
              <w:jc w:val="right"/>
              <w:rPr>
                <w:rFonts w:ascii="Arial" w:eastAsia="Times New Roman" w:hAnsi="Arial" w:cs="Arial"/>
                <w:b/>
                <w:bCs/>
                <w:color w:val="333333"/>
                <w:sz w:val="18"/>
                <w:szCs w:val="18"/>
                <w:lang w:eastAsia="es-ES"/>
              </w:rPr>
            </w:pPr>
            <w:r w:rsidRPr="0016193D">
              <w:rPr>
                <w:rFonts w:ascii="Arial" w:eastAsia="Times New Roman" w:hAnsi="Arial" w:cs="Arial"/>
                <w:b/>
                <w:bCs/>
                <w:color w:val="333333"/>
                <w:sz w:val="18"/>
                <w:szCs w:val="18"/>
                <w:lang w:eastAsia="es-ES"/>
              </w:rPr>
              <w:t>69%</w:t>
            </w:r>
          </w:p>
        </w:tc>
      </w:tr>
      <w:tr w:rsidR="0016193D" w:rsidRPr="0016193D" w:rsidTr="0016193D">
        <w:trPr>
          <w:trHeight w:val="255"/>
        </w:trPr>
        <w:tc>
          <w:tcPr>
            <w:tcW w:w="1780" w:type="dxa"/>
            <w:tcBorders>
              <w:top w:val="nil"/>
              <w:left w:val="single" w:sz="8" w:space="0" w:color="auto"/>
              <w:bottom w:val="single" w:sz="4" w:space="0" w:color="auto"/>
              <w:right w:val="single" w:sz="4" w:space="0" w:color="auto"/>
            </w:tcBorders>
            <w:shd w:val="clear" w:color="000000" w:fill="F3F4F7"/>
            <w:noWrap/>
            <w:vAlign w:val="bottom"/>
            <w:hideMark/>
          </w:tcPr>
          <w:p w:rsidR="0016193D" w:rsidRPr="0016193D" w:rsidRDefault="0016193D" w:rsidP="0016193D">
            <w:pPr>
              <w:spacing w:after="0" w:line="240" w:lineRule="auto"/>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70 y más años</w:t>
            </w:r>
          </w:p>
        </w:tc>
        <w:tc>
          <w:tcPr>
            <w:tcW w:w="1158" w:type="dxa"/>
            <w:tcBorders>
              <w:top w:val="nil"/>
              <w:left w:val="nil"/>
              <w:bottom w:val="single" w:sz="4" w:space="0" w:color="auto"/>
              <w:right w:val="single" w:sz="4" w:space="0" w:color="auto"/>
            </w:tcBorders>
            <w:shd w:val="clear" w:color="000000" w:fill="F3F4F7"/>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w:t>
            </w:r>
          </w:p>
        </w:tc>
        <w:tc>
          <w:tcPr>
            <w:tcW w:w="1157" w:type="dxa"/>
            <w:tcBorders>
              <w:top w:val="nil"/>
              <w:left w:val="nil"/>
              <w:bottom w:val="single" w:sz="4" w:space="0" w:color="auto"/>
              <w:right w:val="single" w:sz="4" w:space="0" w:color="auto"/>
            </w:tcBorders>
            <w:shd w:val="clear" w:color="000000" w:fill="F3F4F7"/>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0,2</w:t>
            </w:r>
          </w:p>
        </w:tc>
        <w:tc>
          <w:tcPr>
            <w:tcW w:w="1085" w:type="dxa"/>
            <w:tcBorders>
              <w:top w:val="nil"/>
              <w:left w:val="nil"/>
              <w:bottom w:val="single" w:sz="4" w:space="0" w:color="auto"/>
              <w:right w:val="single" w:sz="4" w:space="0" w:color="auto"/>
            </w:tcBorders>
            <w:shd w:val="clear" w:color="000000" w:fill="F3F4F7"/>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 </w:t>
            </w:r>
          </w:p>
        </w:tc>
        <w:tc>
          <w:tcPr>
            <w:tcW w:w="1185" w:type="dxa"/>
            <w:tcBorders>
              <w:top w:val="nil"/>
              <w:left w:val="nil"/>
              <w:bottom w:val="single" w:sz="4" w:space="0" w:color="auto"/>
              <w:right w:val="single" w:sz="4" w:space="0" w:color="auto"/>
            </w:tcBorders>
            <w:shd w:val="clear" w:color="000000" w:fill="F3F4F7"/>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0,2</w:t>
            </w:r>
          </w:p>
        </w:tc>
        <w:tc>
          <w:tcPr>
            <w:tcW w:w="1185" w:type="dxa"/>
            <w:tcBorders>
              <w:top w:val="nil"/>
              <w:left w:val="nil"/>
              <w:bottom w:val="single" w:sz="4" w:space="0" w:color="auto"/>
              <w:right w:val="single" w:sz="4" w:space="0" w:color="auto"/>
            </w:tcBorders>
            <w:shd w:val="clear" w:color="000000" w:fill="F3F4F7"/>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0,8</w:t>
            </w:r>
          </w:p>
        </w:tc>
        <w:tc>
          <w:tcPr>
            <w:tcW w:w="1111" w:type="dxa"/>
            <w:tcBorders>
              <w:top w:val="nil"/>
              <w:left w:val="nil"/>
              <w:bottom w:val="single" w:sz="4" w:space="0" w:color="auto"/>
              <w:right w:val="single" w:sz="8" w:space="0" w:color="auto"/>
            </w:tcBorders>
            <w:shd w:val="clear" w:color="000000" w:fill="F3F4F7"/>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-75%</w:t>
            </w:r>
          </w:p>
        </w:tc>
      </w:tr>
      <w:tr w:rsidR="0016193D" w:rsidRPr="0016193D" w:rsidTr="0016193D">
        <w:trPr>
          <w:trHeight w:val="270"/>
        </w:trPr>
        <w:tc>
          <w:tcPr>
            <w:tcW w:w="1780" w:type="dxa"/>
            <w:tcBorders>
              <w:top w:val="nil"/>
              <w:left w:val="single" w:sz="8" w:space="0" w:color="auto"/>
              <w:bottom w:val="single" w:sz="8" w:space="0" w:color="auto"/>
              <w:right w:val="single" w:sz="4" w:space="0" w:color="auto"/>
            </w:tcBorders>
            <w:shd w:val="clear" w:color="000000" w:fill="F3F4F7"/>
            <w:noWrap/>
            <w:vAlign w:val="bottom"/>
            <w:hideMark/>
          </w:tcPr>
          <w:p w:rsidR="0016193D" w:rsidRPr="0016193D" w:rsidRDefault="0016193D" w:rsidP="0016193D">
            <w:pPr>
              <w:spacing w:after="0" w:line="240" w:lineRule="auto"/>
              <w:rPr>
                <w:rFonts w:ascii="Arial" w:eastAsia="Times New Roman" w:hAnsi="Arial" w:cs="Arial"/>
                <w:b/>
                <w:bCs/>
                <w:color w:val="333333"/>
                <w:sz w:val="18"/>
                <w:szCs w:val="18"/>
                <w:lang w:eastAsia="es-ES"/>
              </w:rPr>
            </w:pPr>
            <w:proofErr w:type="gramStart"/>
            <w:r w:rsidRPr="0016193D">
              <w:rPr>
                <w:rFonts w:ascii="Arial" w:eastAsia="Times New Roman" w:hAnsi="Arial" w:cs="Arial"/>
                <w:b/>
                <w:bCs/>
                <w:color w:val="333333"/>
                <w:sz w:val="18"/>
                <w:szCs w:val="18"/>
                <w:lang w:eastAsia="es-ES"/>
              </w:rPr>
              <w:t>TOTAL</w:t>
            </w:r>
            <w:proofErr w:type="gramEnd"/>
            <w:r w:rsidRPr="0016193D">
              <w:rPr>
                <w:rFonts w:ascii="Arial" w:eastAsia="Times New Roman" w:hAnsi="Arial" w:cs="Arial"/>
                <w:b/>
                <w:bCs/>
                <w:color w:val="333333"/>
                <w:sz w:val="18"/>
                <w:szCs w:val="18"/>
                <w:lang w:eastAsia="es-ES"/>
              </w:rPr>
              <w:t xml:space="preserve"> MAYORES</w:t>
            </w:r>
          </w:p>
        </w:tc>
        <w:tc>
          <w:tcPr>
            <w:tcW w:w="1158" w:type="dxa"/>
            <w:tcBorders>
              <w:top w:val="nil"/>
              <w:left w:val="nil"/>
              <w:bottom w:val="single" w:sz="8" w:space="0" w:color="auto"/>
              <w:right w:val="single" w:sz="4" w:space="0" w:color="auto"/>
            </w:tcBorders>
            <w:shd w:val="clear" w:color="000000" w:fill="F3F4F7"/>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247,8</w:t>
            </w:r>
          </w:p>
        </w:tc>
        <w:tc>
          <w:tcPr>
            <w:tcW w:w="1157" w:type="dxa"/>
            <w:tcBorders>
              <w:top w:val="nil"/>
              <w:left w:val="nil"/>
              <w:bottom w:val="single" w:sz="8" w:space="0" w:color="auto"/>
              <w:right w:val="single" w:sz="4" w:space="0" w:color="auto"/>
            </w:tcBorders>
            <w:shd w:val="clear" w:color="000000" w:fill="F3F4F7"/>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287,5</w:t>
            </w:r>
          </w:p>
        </w:tc>
        <w:tc>
          <w:tcPr>
            <w:tcW w:w="1085" w:type="dxa"/>
            <w:tcBorders>
              <w:top w:val="nil"/>
              <w:left w:val="nil"/>
              <w:bottom w:val="single" w:sz="8" w:space="0" w:color="auto"/>
              <w:right w:val="single" w:sz="4" w:space="0" w:color="auto"/>
            </w:tcBorders>
            <w:shd w:val="clear" w:color="000000" w:fill="F3F4F7"/>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-14%</w:t>
            </w:r>
          </w:p>
        </w:tc>
        <w:tc>
          <w:tcPr>
            <w:tcW w:w="1185" w:type="dxa"/>
            <w:tcBorders>
              <w:top w:val="nil"/>
              <w:left w:val="nil"/>
              <w:bottom w:val="single" w:sz="8" w:space="0" w:color="auto"/>
              <w:right w:val="single" w:sz="4" w:space="0" w:color="auto"/>
            </w:tcBorders>
            <w:shd w:val="clear" w:color="000000" w:fill="F3F4F7"/>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249,7</w:t>
            </w:r>
          </w:p>
        </w:tc>
        <w:tc>
          <w:tcPr>
            <w:tcW w:w="1185" w:type="dxa"/>
            <w:tcBorders>
              <w:top w:val="nil"/>
              <w:left w:val="nil"/>
              <w:bottom w:val="single" w:sz="8" w:space="0" w:color="auto"/>
              <w:right w:val="single" w:sz="4" w:space="0" w:color="auto"/>
            </w:tcBorders>
            <w:shd w:val="clear" w:color="000000" w:fill="F3F4F7"/>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245,1</w:t>
            </w:r>
          </w:p>
        </w:tc>
        <w:tc>
          <w:tcPr>
            <w:tcW w:w="1111" w:type="dxa"/>
            <w:tcBorders>
              <w:top w:val="nil"/>
              <w:left w:val="nil"/>
              <w:bottom w:val="single" w:sz="8" w:space="0" w:color="auto"/>
              <w:right w:val="single" w:sz="8" w:space="0" w:color="auto"/>
            </w:tcBorders>
            <w:shd w:val="clear" w:color="000000" w:fill="F3F4F7"/>
            <w:noWrap/>
            <w:vAlign w:val="bottom"/>
            <w:hideMark/>
          </w:tcPr>
          <w:p w:rsidR="0016193D" w:rsidRPr="0016193D" w:rsidRDefault="0016193D" w:rsidP="0016193D">
            <w:pPr>
              <w:spacing w:after="0" w:line="240" w:lineRule="auto"/>
              <w:jc w:val="right"/>
              <w:rPr>
                <w:rFonts w:ascii="Arial" w:eastAsia="Times New Roman" w:hAnsi="Arial" w:cs="Arial"/>
                <w:color w:val="333333"/>
                <w:sz w:val="18"/>
                <w:szCs w:val="18"/>
                <w:lang w:eastAsia="es-ES"/>
              </w:rPr>
            </w:pPr>
            <w:r w:rsidRPr="0016193D">
              <w:rPr>
                <w:rFonts w:ascii="Arial" w:eastAsia="Times New Roman" w:hAnsi="Arial" w:cs="Arial"/>
                <w:color w:val="333333"/>
                <w:sz w:val="18"/>
                <w:szCs w:val="18"/>
                <w:lang w:eastAsia="es-ES"/>
              </w:rPr>
              <w:t>2%</w:t>
            </w:r>
          </w:p>
        </w:tc>
      </w:tr>
    </w:tbl>
    <w:p w:rsidR="0016193D" w:rsidRPr="00293855" w:rsidRDefault="0016193D" w:rsidP="00CD2338">
      <w:pPr>
        <w:jc w:val="center"/>
        <w:rPr>
          <w:rFonts w:ascii="Arial" w:hAnsi="Arial" w:cs="Arial"/>
          <w:bCs/>
          <w:iCs/>
          <w:color w:val="0D0D0D"/>
          <w:sz w:val="18"/>
          <w:szCs w:val="18"/>
        </w:rPr>
      </w:pPr>
      <w:r>
        <w:rPr>
          <w:rFonts w:ascii="Arial" w:hAnsi="Arial" w:cs="Arial"/>
          <w:bCs/>
          <w:iCs/>
          <w:color w:val="0D0D0D"/>
          <w:sz w:val="18"/>
          <w:szCs w:val="18"/>
        </w:rPr>
        <w:br/>
      </w:r>
      <w:r w:rsidRPr="00293855">
        <w:rPr>
          <w:rFonts w:ascii="Arial" w:hAnsi="Arial" w:cs="Arial"/>
          <w:bCs/>
          <w:iCs/>
          <w:color w:val="0D0D0D"/>
          <w:sz w:val="18"/>
          <w:szCs w:val="18"/>
        </w:rPr>
        <w:t>Fuente: Elaboración propia en base a datos EPA. Comparativa 4T 2018-2017</w:t>
      </w:r>
    </w:p>
    <w:p w:rsidR="006456B1" w:rsidRDefault="005D5FF9" w:rsidP="008B5611">
      <w:pPr>
        <w:spacing w:after="160" w:line="259" w:lineRule="auto"/>
        <w:jc w:val="both"/>
        <w:rPr>
          <w:rFonts w:ascii="Arial" w:hAnsi="Arial" w:cs="Arial"/>
          <w:bCs/>
          <w:iCs/>
          <w:color w:val="0D0D0D"/>
          <w:sz w:val="20"/>
          <w:szCs w:val="20"/>
        </w:rPr>
      </w:pPr>
      <w:r>
        <w:rPr>
          <w:rFonts w:ascii="Arial" w:hAnsi="Arial" w:cs="Arial"/>
          <w:bCs/>
          <w:iCs/>
          <w:color w:val="0D0D0D"/>
          <w:sz w:val="20"/>
          <w:szCs w:val="20"/>
        </w:rPr>
        <w:t>Entre las razones que subyacen tras</w:t>
      </w:r>
      <w:r w:rsidRPr="000370D9">
        <w:rPr>
          <w:rFonts w:ascii="Arial" w:hAnsi="Arial" w:cs="Arial"/>
          <w:bCs/>
          <w:iCs/>
          <w:color w:val="0D0D0D"/>
          <w:sz w:val="20"/>
          <w:szCs w:val="20"/>
        </w:rPr>
        <w:t xml:space="preserve"> este incremento de parados senior</w:t>
      </w:r>
      <w:r>
        <w:rPr>
          <w:rFonts w:ascii="Arial" w:hAnsi="Arial" w:cs="Arial"/>
          <w:bCs/>
          <w:iCs/>
          <w:color w:val="0D0D0D"/>
          <w:sz w:val="20"/>
          <w:szCs w:val="20"/>
        </w:rPr>
        <w:t>s</w:t>
      </w:r>
      <w:r w:rsidRPr="000370D9">
        <w:rPr>
          <w:rFonts w:ascii="Arial" w:hAnsi="Arial" w:cs="Arial"/>
          <w:bCs/>
          <w:iCs/>
          <w:color w:val="0D0D0D"/>
          <w:sz w:val="20"/>
          <w:szCs w:val="20"/>
        </w:rPr>
        <w:t xml:space="preserve"> podemos subrayar</w:t>
      </w:r>
      <w:r>
        <w:rPr>
          <w:rFonts w:ascii="Arial" w:hAnsi="Arial" w:cs="Arial"/>
          <w:bCs/>
          <w:iCs/>
          <w:color w:val="0D0D0D"/>
          <w:sz w:val="20"/>
          <w:szCs w:val="20"/>
        </w:rPr>
        <w:t xml:space="preserve"> </w:t>
      </w:r>
      <w:r w:rsidR="000370D9" w:rsidRPr="000370D9">
        <w:rPr>
          <w:rFonts w:ascii="Arial" w:hAnsi="Arial" w:cs="Arial"/>
          <w:bCs/>
          <w:iCs/>
          <w:color w:val="0D0D0D"/>
          <w:sz w:val="20"/>
          <w:szCs w:val="20"/>
        </w:rPr>
        <w:t xml:space="preserve">el </w:t>
      </w:r>
      <w:r w:rsidR="000370D9" w:rsidRPr="000370D9">
        <w:rPr>
          <w:rFonts w:ascii="Arial" w:hAnsi="Arial" w:cs="Arial"/>
          <w:b/>
          <w:bCs/>
          <w:iCs/>
          <w:color w:val="0D0D0D"/>
          <w:sz w:val="20"/>
          <w:szCs w:val="20"/>
        </w:rPr>
        <w:t>envejecimiento poblacional</w:t>
      </w:r>
      <w:r w:rsidR="000370D9" w:rsidRPr="000370D9">
        <w:rPr>
          <w:rFonts w:ascii="Arial" w:hAnsi="Arial" w:cs="Arial"/>
          <w:bCs/>
          <w:iCs/>
          <w:color w:val="0D0D0D"/>
          <w:sz w:val="20"/>
          <w:szCs w:val="20"/>
        </w:rPr>
        <w:t xml:space="preserve"> -por una cuestión demográfica</w:t>
      </w:r>
      <w:r w:rsidR="0016193D">
        <w:rPr>
          <w:rFonts w:ascii="Arial" w:hAnsi="Arial" w:cs="Arial"/>
          <w:bCs/>
          <w:iCs/>
          <w:color w:val="0D0D0D"/>
          <w:sz w:val="20"/>
          <w:szCs w:val="20"/>
        </w:rPr>
        <w:t>,</w:t>
      </w:r>
      <w:r w:rsidR="000370D9" w:rsidRPr="000370D9">
        <w:rPr>
          <w:rFonts w:ascii="Arial" w:hAnsi="Arial" w:cs="Arial"/>
          <w:bCs/>
          <w:iCs/>
          <w:color w:val="0D0D0D"/>
          <w:sz w:val="20"/>
          <w:szCs w:val="20"/>
        </w:rPr>
        <w:t xml:space="preserve"> cada vez son más los parados en esta franja de edad-</w:t>
      </w:r>
      <w:r w:rsidR="0016193D">
        <w:rPr>
          <w:rFonts w:ascii="Arial" w:hAnsi="Arial" w:cs="Arial"/>
          <w:bCs/>
          <w:iCs/>
          <w:color w:val="0D0D0D"/>
          <w:sz w:val="20"/>
          <w:szCs w:val="20"/>
        </w:rPr>
        <w:t xml:space="preserve">  o la </w:t>
      </w:r>
      <w:r w:rsidR="0016193D" w:rsidRPr="0016193D">
        <w:rPr>
          <w:rFonts w:ascii="Arial" w:hAnsi="Arial" w:cs="Arial"/>
          <w:b/>
          <w:bCs/>
          <w:iCs/>
          <w:color w:val="0D0D0D"/>
          <w:sz w:val="20"/>
          <w:szCs w:val="20"/>
        </w:rPr>
        <w:t>cronificación del desempleo</w:t>
      </w:r>
      <w:r w:rsidR="000370D9">
        <w:rPr>
          <w:rFonts w:ascii="Arial" w:hAnsi="Arial" w:cs="Arial"/>
          <w:bCs/>
          <w:iCs/>
          <w:color w:val="0D0D0D"/>
          <w:sz w:val="20"/>
          <w:szCs w:val="20"/>
        </w:rPr>
        <w:t>.</w:t>
      </w:r>
    </w:p>
    <w:p w:rsidR="003E1B98" w:rsidRDefault="006456B1" w:rsidP="008B5611">
      <w:pPr>
        <w:spacing w:after="160" w:line="259" w:lineRule="auto"/>
        <w:jc w:val="both"/>
        <w:rPr>
          <w:rFonts w:ascii="Arial" w:hAnsi="Arial" w:cs="Arial"/>
          <w:bCs/>
          <w:iCs/>
          <w:color w:val="0D0D0D"/>
          <w:sz w:val="20"/>
          <w:szCs w:val="20"/>
        </w:rPr>
      </w:pPr>
      <w:r>
        <w:rPr>
          <w:rFonts w:ascii="Arial" w:hAnsi="Arial" w:cs="Arial"/>
          <w:bCs/>
          <w:iCs/>
          <w:color w:val="0D0D0D"/>
          <w:sz w:val="20"/>
          <w:szCs w:val="20"/>
        </w:rPr>
        <w:t xml:space="preserve">En este sentido, es significativo cómo muchos mayores pierden su empleo tras años en la misma empresa y se sienten desorientados a la hora de afrontar una nueva búsqueda, lo que alarga el </w:t>
      </w:r>
      <w:r>
        <w:rPr>
          <w:rFonts w:ascii="Arial" w:hAnsi="Arial" w:cs="Arial"/>
          <w:bCs/>
          <w:iCs/>
          <w:color w:val="0D0D0D"/>
          <w:sz w:val="20"/>
          <w:szCs w:val="20"/>
        </w:rPr>
        <w:lastRenderedPageBreak/>
        <w:t xml:space="preserve">tiempo que tardan en encontrar esa oportunidad laboral. Al mismo tiempo, una importante masa de seniors (fundamentalmente mujeres) siguen incorporándose al mercado laboral tras largos periodos de inactividad, para compensar los efectos de economías resentidas por los efectos a largo plazo de la crisis: devaluación salarial, disminución de ingresos y, en definitiva, pérdida de calidad de vida. Así, pasan de la inactividad al desempleo de larga duración, </w:t>
      </w:r>
      <w:r>
        <w:rPr>
          <w:rFonts w:ascii="Arial" w:hAnsi="Arial" w:cs="Arial"/>
          <w:b/>
          <w:bCs/>
          <w:iCs/>
          <w:color w:val="0D0D0D"/>
          <w:sz w:val="20"/>
          <w:szCs w:val="20"/>
        </w:rPr>
        <w:t xml:space="preserve">debido, en primer lugar, a las dificultades y el desconocimiento a la hora de reciclarse profesionalmente, así como a la discriminación que experimentan. </w:t>
      </w:r>
      <w:r>
        <w:rPr>
          <w:rFonts w:ascii="Arial" w:hAnsi="Arial" w:cs="Arial"/>
          <w:bCs/>
          <w:iCs/>
          <w:color w:val="0D0D0D"/>
          <w:sz w:val="20"/>
          <w:szCs w:val="20"/>
        </w:rPr>
        <w:t xml:space="preserve">Por tanto, año tras año, no abandonan las listas del paro, sino que las van engrosando, acumulándose en las mismas cada nuevo ejercicio.  Como muestra, </w:t>
      </w:r>
      <w:r>
        <w:rPr>
          <w:rFonts w:ascii="Arial" w:hAnsi="Arial" w:cs="Arial"/>
          <w:b/>
          <w:bCs/>
          <w:iCs/>
          <w:color w:val="0D0D0D"/>
          <w:sz w:val="20"/>
          <w:szCs w:val="20"/>
        </w:rPr>
        <w:t>un 58% de los desempleados mayores de 45 años es de larga duración, frente al 45% general.</w:t>
      </w:r>
      <w:r w:rsidR="00270E53" w:rsidRPr="000370D9">
        <w:rPr>
          <w:rFonts w:ascii="Arial" w:hAnsi="Arial" w:cs="Arial"/>
          <w:bCs/>
          <w:iCs/>
          <w:color w:val="0D0D0D"/>
          <w:sz w:val="20"/>
          <w:szCs w:val="20"/>
        </w:rPr>
        <w:t xml:space="preserve"> </w:t>
      </w:r>
    </w:p>
    <w:p w:rsidR="003B6619" w:rsidRPr="008B5611" w:rsidRDefault="00C47800" w:rsidP="008B5611">
      <w:pPr>
        <w:spacing w:after="160" w:line="259" w:lineRule="auto"/>
        <w:jc w:val="both"/>
        <w:rPr>
          <w:rFonts w:ascii="Arial" w:hAnsi="Arial" w:cs="Arial"/>
          <w:b/>
          <w:bCs/>
          <w:iCs/>
          <w:color w:val="0D0D0D"/>
          <w:sz w:val="20"/>
          <w:szCs w:val="20"/>
        </w:rPr>
      </w:pPr>
      <w:r>
        <w:rPr>
          <w:rFonts w:ascii="Arial" w:hAnsi="Arial" w:cs="Arial"/>
          <w:bCs/>
          <w:iCs/>
          <w:color w:val="0D0D0D"/>
          <w:sz w:val="20"/>
          <w:szCs w:val="20"/>
        </w:rPr>
        <w:t xml:space="preserve"> </w:t>
      </w:r>
      <w:r w:rsidR="003B6619" w:rsidRPr="003B6619">
        <w:rPr>
          <w:rFonts w:ascii="Arial" w:hAnsi="Arial" w:cs="Arial"/>
          <w:bCs/>
          <w:iCs/>
          <w:color w:val="0D0D0D"/>
          <w:sz w:val="20"/>
          <w:szCs w:val="20"/>
        </w:rPr>
        <w:t xml:space="preserve">Con todo ello, los desempleados mayores de 55 años </w:t>
      </w:r>
      <w:r w:rsidR="003B6619" w:rsidRPr="008B5611">
        <w:rPr>
          <w:rFonts w:ascii="Arial" w:hAnsi="Arial" w:cs="Arial"/>
          <w:b/>
          <w:bCs/>
          <w:iCs/>
          <w:color w:val="0D0D0D"/>
          <w:sz w:val="20"/>
          <w:szCs w:val="20"/>
        </w:rPr>
        <w:t>ya representan el 15% del total, f</w:t>
      </w:r>
      <w:r w:rsidR="0016193D" w:rsidRPr="008B5611">
        <w:rPr>
          <w:rFonts w:ascii="Arial" w:hAnsi="Arial" w:cs="Arial"/>
          <w:b/>
          <w:bCs/>
          <w:iCs/>
          <w:color w:val="0D0D0D"/>
          <w:sz w:val="20"/>
          <w:szCs w:val="20"/>
        </w:rPr>
        <w:t>rente al 7% que suponían en 2008</w:t>
      </w:r>
      <w:r w:rsidR="003B6619" w:rsidRPr="008B5611">
        <w:rPr>
          <w:rFonts w:ascii="Arial" w:hAnsi="Arial" w:cs="Arial"/>
          <w:b/>
          <w:bCs/>
          <w:iCs/>
          <w:color w:val="0D0D0D"/>
          <w:sz w:val="20"/>
          <w:szCs w:val="20"/>
        </w:rPr>
        <w:t>.</w:t>
      </w:r>
    </w:p>
    <w:p w:rsidR="0016193D" w:rsidRPr="003B6619" w:rsidRDefault="0016193D" w:rsidP="0016193D">
      <w:pPr>
        <w:spacing w:after="160" w:line="259" w:lineRule="auto"/>
        <w:jc w:val="center"/>
        <w:rPr>
          <w:rFonts w:ascii="Arial" w:hAnsi="Arial" w:cs="Arial"/>
          <w:bCs/>
          <w:iCs/>
          <w:color w:val="0D0D0D"/>
          <w:sz w:val="20"/>
          <w:szCs w:val="20"/>
        </w:rPr>
      </w:pPr>
      <w:r>
        <w:rPr>
          <w:noProof/>
        </w:rPr>
        <w:drawing>
          <wp:inline distT="0" distB="0" distL="0" distR="0" wp14:anchorId="56E5F91C" wp14:editId="4F92886E">
            <wp:extent cx="4572000" cy="2743200"/>
            <wp:effectExtent l="0" t="0" r="0" b="0"/>
            <wp:docPr id="6" name="Gráfico 6">
              <a:extLst xmlns:a="http://schemas.openxmlformats.org/drawingml/2006/main">
                <a:ext uri="{FF2B5EF4-FFF2-40B4-BE49-F238E27FC236}">
                  <a16:creationId xmlns:a16="http://schemas.microsoft.com/office/drawing/2014/main" id="{BC9380BE-2041-43A3-9AC6-0808296754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Arial" w:hAnsi="Arial" w:cs="Arial"/>
          <w:bCs/>
          <w:iCs/>
          <w:color w:val="0D0D0D"/>
          <w:sz w:val="20"/>
          <w:szCs w:val="20"/>
        </w:rPr>
        <w:br/>
      </w:r>
      <w:r w:rsidRPr="00293855">
        <w:rPr>
          <w:rFonts w:ascii="Arial" w:hAnsi="Arial" w:cs="Arial"/>
          <w:bCs/>
          <w:iCs/>
          <w:color w:val="0D0D0D"/>
          <w:sz w:val="18"/>
          <w:szCs w:val="18"/>
        </w:rPr>
        <w:t>Fuente: Elaboración propia en base a datos EPA. Comparativa 4T 2018-2017</w:t>
      </w:r>
    </w:p>
    <w:p w:rsidR="004D3139" w:rsidRPr="00270E53" w:rsidRDefault="00F455C0" w:rsidP="004D3139">
      <w:pPr>
        <w:shd w:val="clear" w:color="auto" w:fill="FFFFFF"/>
        <w:spacing w:before="100" w:beforeAutospacing="1" w:after="120" w:line="240" w:lineRule="auto"/>
        <w:rPr>
          <w:rFonts w:ascii="Arial" w:hAnsi="Arial" w:cs="Arial"/>
          <w:b/>
          <w:color w:val="808080" w:themeColor="background1" w:themeShade="80"/>
        </w:rPr>
      </w:pPr>
      <w:r>
        <w:rPr>
          <w:rFonts w:ascii="Arial" w:hAnsi="Arial" w:cs="Arial"/>
          <w:b/>
          <w:color w:val="808080" w:themeColor="background1" w:themeShade="80"/>
        </w:rPr>
        <w:t>“Cronificación del desempleo extrema”</w:t>
      </w:r>
      <w:r w:rsidR="006C5238">
        <w:rPr>
          <w:rFonts w:ascii="Arial" w:hAnsi="Arial" w:cs="Arial"/>
          <w:b/>
          <w:color w:val="808080" w:themeColor="background1" w:themeShade="80"/>
        </w:rPr>
        <w:t>: u</w:t>
      </w:r>
      <w:r w:rsidR="00270E53" w:rsidRPr="00270E53">
        <w:rPr>
          <w:rFonts w:ascii="Arial" w:hAnsi="Arial" w:cs="Arial"/>
          <w:b/>
          <w:color w:val="808080" w:themeColor="background1" w:themeShade="80"/>
        </w:rPr>
        <w:t>n 43% lleva más de 4 años en paro</w:t>
      </w:r>
    </w:p>
    <w:p w:rsidR="007E636A" w:rsidRDefault="00A66405" w:rsidP="00A66405">
      <w:pPr>
        <w:shd w:val="clear" w:color="auto" w:fill="FFFFFF"/>
        <w:spacing w:before="100" w:beforeAutospacing="1" w:after="120" w:line="240" w:lineRule="auto"/>
        <w:jc w:val="both"/>
        <w:rPr>
          <w:rFonts w:ascii="Arial" w:hAnsi="Arial" w:cs="Arial"/>
          <w:color w:val="000000"/>
          <w:sz w:val="20"/>
          <w:szCs w:val="20"/>
        </w:rPr>
      </w:pPr>
      <w:r w:rsidRPr="00A66405">
        <w:rPr>
          <w:rFonts w:ascii="Arial" w:hAnsi="Arial" w:cs="Arial"/>
          <w:color w:val="000000"/>
          <w:sz w:val="20"/>
          <w:szCs w:val="20"/>
        </w:rPr>
        <w:t>Según los datos de la EPA del primer trimestre de 2019, el 65% de los mayores de 55 años lleva más de un año en paro, cifra 20 puntos porcentuales superior a la media de todas las edades (45%).</w:t>
      </w:r>
    </w:p>
    <w:p w:rsidR="000325B1" w:rsidRPr="00D26C2F" w:rsidRDefault="00A66405" w:rsidP="00D26C2F">
      <w:pPr>
        <w:shd w:val="clear" w:color="auto" w:fill="FFFFFF"/>
        <w:spacing w:before="100" w:beforeAutospacing="1" w:after="120" w:line="240" w:lineRule="auto"/>
        <w:jc w:val="both"/>
        <w:rPr>
          <w:rFonts w:ascii="Arial" w:hAnsi="Arial" w:cs="Arial"/>
          <w:b/>
          <w:color w:val="000000"/>
          <w:sz w:val="20"/>
          <w:szCs w:val="20"/>
        </w:rPr>
      </w:pPr>
      <w:r>
        <w:rPr>
          <w:rFonts w:ascii="Arial" w:hAnsi="Arial" w:cs="Arial"/>
          <w:color w:val="000000"/>
          <w:sz w:val="20"/>
          <w:szCs w:val="20"/>
        </w:rPr>
        <w:t xml:space="preserve">El informe de la Fundación Adecco confirma esta realidad y, además, ha querido profundizar en </w:t>
      </w:r>
      <w:r w:rsidR="005E38FE">
        <w:rPr>
          <w:rFonts w:ascii="Arial" w:hAnsi="Arial" w:cs="Arial"/>
          <w:color w:val="000000"/>
          <w:sz w:val="20"/>
          <w:szCs w:val="20"/>
        </w:rPr>
        <w:t xml:space="preserve">cuán </w:t>
      </w:r>
      <w:r>
        <w:rPr>
          <w:rFonts w:ascii="Arial" w:hAnsi="Arial" w:cs="Arial"/>
          <w:color w:val="000000"/>
          <w:sz w:val="20"/>
          <w:szCs w:val="20"/>
        </w:rPr>
        <w:t xml:space="preserve">extensas pueden llegar a ser estas situaciones de desempleo de larga duración. Para ello, se ha preguntado a los participantes en la encuesta por el tiempo que llevan </w:t>
      </w:r>
      <w:r w:rsidR="0074269D">
        <w:rPr>
          <w:rFonts w:ascii="Arial" w:hAnsi="Arial" w:cs="Arial"/>
          <w:color w:val="000000"/>
          <w:sz w:val="20"/>
          <w:szCs w:val="20"/>
        </w:rPr>
        <w:t xml:space="preserve">en </w:t>
      </w:r>
      <w:r w:rsidR="00AD7511">
        <w:rPr>
          <w:rFonts w:ascii="Arial" w:hAnsi="Arial" w:cs="Arial"/>
          <w:color w:val="000000"/>
          <w:sz w:val="20"/>
          <w:szCs w:val="20"/>
        </w:rPr>
        <w:t>par</w:t>
      </w:r>
      <w:r>
        <w:rPr>
          <w:rFonts w:ascii="Arial" w:hAnsi="Arial" w:cs="Arial"/>
          <w:color w:val="000000"/>
          <w:sz w:val="20"/>
          <w:szCs w:val="20"/>
        </w:rPr>
        <w:t>o, obteniendo llamativos resultados. En primer lugar, la situación más habitual es la que podríamos llamar “</w:t>
      </w:r>
      <w:r w:rsidRPr="00A66405">
        <w:rPr>
          <w:rFonts w:ascii="Arial" w:hAnsi="Arial" w:cs="Arial"/>
          <w:b/>
          <w:color w:val="000000"/>
          <w:sz w:val="20"/>
          <w:szCs w:val="20"/>
        </w:rPr>
        <w:t xml:space="preserve">cronificación del </w:t>
      </w:r>
      <w:r>
        <w:rPr>
          <w:rFonts w:ascii="Arial" w:hAnsi="Arial" w:cs="Arial"/>
          <w:b/>
          <w:color w:val="000000"/>
          <w:sz w:val="20"/>
          <w:szCs w:val="20"/>
        </w:rPr>
        <w:t>des</w:t>
      </w:r>
      <w:r w:rsidRPr="00A66405">
        <w:rPr>
          <w:rFonts w:ascii="Arial" w:hAnsi="Arial" w:cs="Arial"/>
          <w:b/>
          <w:color w:val="000000"/>
          <w:sz w:val="20"/>
          <w:szCs w:val="20"/>
        </w:rPr>
        <w:t>empleo</w:t>
      </w:r>
      <w:r>
        <w:rPr>
          <w:rFonts w:ascii="Arial" w:hAnsi="Arial" w:cs="Arial"/>
          <w:b/>
          <w:color w:val="000000"/>
          <w:sz w:val="20"/>
          <w:szCs w:val="20"/>
        </w:rPr>
        <w:t xml:space="preserve"> extrema</w:t>
      </w:r>
      <w:r>
        <w:rPr>
          <w:rFonts w:ascii="Arial" w:hAnsi="Arial" w:cs="Arial"/>
          <w:color w:val="000000"/>
          <w:sz w:val="20"/>
          <w:szCs w:val="20"/>
        </w:rPr>
        <w:t>”. Así, un 43% de los encuestados supera los 4 años</w:t>
      </w:r>
      <w:r w:rsidR="00AD7511">
        <w:rPr>
          <w:rFonts w:ascii="Arial" w:hAnsi="Arial" w:cs="Arial"/>
          <w:color w:val="000000"/>
          <w:sz w:val="20"/>
          <w:szCs w:val="20"/>
        </w:rPr>
        <w:t xml:space="preserve"> sin trabajar</w:t>
      </w:r>
      <w:r>
        <w:rPr>
          <w:rFonts w:ascii="Arial" w:hAnsi="Arial" w:cs="Arial"/>
          <w:color w:val="000000"/>
          <w:sz w:val="20"/>
          <w:szCs w:val="20"/>
        </w:rPr>
        <w:t xml:space="preserve">. </w:t>
      </w:r>
      <w:r w:rsidR="007836FB">
        <w:rPr>
          <w:rFonts w:ascii="Arial" w:hAnsi="Arial" w:cs="Arial"/>
          <w:color w:val="000000"/>
          <w:sz w:val="20"/>
          <w:szCs w:val="20"/>
        </w:rPr>
        <w:t xml:space="preserve">Asimismo, un 11% lleva más de 2 años </w:t>
      </w:r>
      <w:r w:rsidR="00AD7511">
        <w:rPr>
          <w:rFonts w:ascii="Arial" w:hAnsi="Arial" w:cs="Arial"/>
          <w:color w:val="000000"/>
          <w:sz w:val="20"/>
          <w:szCs w:val="20"/>
        </w:rPr>
        <w:t xml:space="preserve">sin encontrar </w:t>
      </w:r>
      <w:r w:rsidR="007F0B1C">
        <w:rPr>
          <w:rFonts w:ascii="Arial" w:hAnsi="Arial" w:cs="Arial"/>
          <w:color w:val="000000"/>
          <w:sz w:val="20"/>
          <w:szCs w:val="20"/>
        </w:rPr>
        <w:t xml:space="preserve">empleo </w:t>
      </w:r>
      <w:r w:rsidR="00D70C13">
        <w:rPr>
          <w:rFonts w:ascii="Arial" w:hAnsi="Arial" w:cs="Arial"/>
          <w:color w:val="000000"/>
          <w:sz w:val="20"/>
          <w:szCs w:val="20"/>
        </w:rPr>
        <w:t xml:space="preserve">y un 7% acumula entre 1 y 2 años en </w:t>
      </w:r>
      <w:r w:rsidR="00AD7511">
        <w:rPr>
          <w:rFonts w:ascii="Arial" w:hAnsi="Arial" w:cs="Arial"/>
          <w:color w:val="000000"/>
          <w:sz w:val="20"/>
          <w:szCs w:val="20"/>
        </w:rPr>
        <w:t xml:space="preserve">esta </w:t>
      </w:r>
      <w:r w:rsidR="00D70C13">
        <w:rPr>
          <w:rFonts w:ascii="Arial" w:hAnsi="Arial" w:cs="Arial"/>
          <w:color w:val="000000"/>
          <w:sz w:val="20"/>
          <w:szCs w:val="20"/>
        </w:rPr>
        <w:t xml:space="preserve">situación. Con ello, obtenemos que un </w:t>
      </w:r>
      <w:r w:rsidR="00D70C13" w:rsidRPr="00AD7511">
        <w:rPr>
          <w:rFonts w:ascii="Arial" w:hAnsi="Arial" w:cs="Arial"/>
          <w:b/>
          <w:color w:val="000000"/>
          <w:sz w:val="20"/>
          <w:szCs w:val="20"/>
        </w:rPr>
        <w:t>61% de los parados mayores de 55 años es de larga duración, cifra similar a la proporcionada por el INE.</w:t>
      </w:r>
    </w:p>
    <w:p w:rsidR="000325B1" w:rsidRDefault="000325B1" w:rsidP="000325B1">
      <w:pPr>
        <w:shd w:val="clear" w:color="auto" w:fill="FFFFFF"/>
        <w:spacing w:before="100" w:beforeAutospacing="1" w:after="120" w:line="240" w:lineRule="auto"/>
        <w:jc w:val="center"/>
        <w:rPr>
          <w:rFonts w:ascii="Arial" w:hAnsi="Arial" w:cs="Arial"/>
          <w:b/>
          <w:color w:val="808080" w:themeColor="background1" w:themeShade="80"/>
        </w:rPr>
      </w:pPr>
      <w:r>
        <w:rPr>
          <w:noProof/>
        </w:rPr>
        <w:lastRenderedPageBreak/>
        <w:drawing>
          <wp:inline distT="0" distB="0" distL="0" distR="0" wp14:anchorId="647393AD" wp14:editId="40F53A80">
            <wp:extent cx="4495800" cy="2181225"/>
            <wp:effectExtent l="0" t="0" r="0" b="9525"/>
            <wp:docPr id="13" name="Gráfico 13">
              <a:extLst xmlns:a="http://schemas.openxmlformats.org/drawingml/2006/main">
                <a:ext uri="{FF2B5EF4-FFF2-40B4-BE49-F238E27FC236}">
                  <a16:creationId xmlns:a16="http://schemas.microsoft.com/office/drawing/2014/main" id="{4D3D74B6-3D61-44CF-99E3-1FCAD1158B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26C2F">
        <w:rPr>
          <w:rFonts w:ascii="Arial" w:hAnsi="Arial" w:cs="Arial"/>
          <w:b/>
          <w:color w:val="808080" w:themeColor="background1" w:themeShade="80"/>
        </w:rPr>
        <w:br/>
      </w:r>
      <w:r w:rsidR="00D26C2F" w:rsidRPr="00D26C2F">
        <w:rPr>
          <w:rFonts w:ascii="Arial" w:hAnsi="Arial" w:cs="Arial"/>
          <w:color w:val="000000"/>
          <w:sz w:val="20"/>
          <w:szCs w:val="20"/>
        </w:rPr>
        <w:t>Fuente: Fundación Adecco</w:t>
      </w:r>
    </w:p>
    <w:p w:rsidR="000325B1" w:rsidRDefault="000325B1" w:rsidP="00455013">
      <w:pPr>
        <w:shd w:val="clear" w:color="auto" w:fill="FFFFFF"/>
        <w:spacing w:before="100" w:beforeAutospacing="1" w:after="120" w:line="240" w:lineRule="auto"/>
        <w:rPr>
          <w:rFonts w:ascii="Arial" w:hAnsi="Arial" w:cs="Arial"/>
          <w:b/>
          <w:color w:val="808080" w:themeColor="background1" w:themeShade="80"/>
        </w:rPr>
      </w:pPr>
    </w:p>
    <w:p w:rsidR="00455013" w:rsidRDefault="000370D9" w:rsidP="00455013">
      <w:pPr>
        <w:shd w:val="clear" w:color="auto" w:fill="FFFFFF"/>
        <w:spacing w:before="100" w:beforeAutospacing="1" w:after="120" w:line="240" w:lineRule="auto"/>
        <w:rPr>
          <w:rFonts w:ascii="Arial" w:hAnsi="Arial" w:cs="Arial"/>
          <w:b/>
          <w:color w:val="808080" w:themeColor="background1" w:themeShade="80"/>
        </w:rPr>
      </w:pPr>
      <w:r w:rsidRPr="000370D9">
        <w:rPr>
          <w:rFonts w:ascii="Arial" w:hAnsi="Arial" w:cs="Arial"/>
          <w:b/>
          <w:color w:val="808080" w:themeColor="background1" w:themeShade="80"/>
        </w:rPr>
        <w:t>Los prejuicios, el gran freno</w:t>
      </w:r>
    </w:p>
    <w:p w:rsidR="0093788D" w:rsidRDefault="0093788D" w:rsidP="00590891">
      <w:pPr>
        <w:shd w:val="clear" w:color="auto" w:fill="FFFFFF"/>
        <w:spacing w:before="100" w:beforeAutospacing="1" w:after="120" w:line="240" w:lineRule="auto"/>
        <w:jc w:val="both"/>
        <w:rPr>
          <w:rFonts w:ascii="Arial" w:hAnsi="Arial" w:cs="Arial"/>
          <w:color w:val="000000"/>
          <w:sz w:val="20"/>
          <w:szCs w:val="20"/>
        </w:rPr>
      </w:pPr>
      <w:r w:rsidRPr="0093788D">
        <w:rPr>
          <w:rFonts w:ascii="Arial" w:hAnsi="Arial" w:cs="Arial"/>
          <w:color w:val="000000"/>
          <w:sz w:val="20"/>
          <w:szCs w:val="20"/>
        </w:rPr>
        <w:t>Si nos adentramos en las causas por las que</w:t>
      </w:r>
      <w:r w:rsidR="00590891">
        <w:rPr>
          <w:rFonts w:ascii="Arial" w:hAnsi="Arial" w:cs="Arial"/>
          <w:color w:val="000000"/>
          <w:sz w:val="20"/>
          <w:szCs w:val="20"/>
        </w:rPr>
        <w:t xml:space="preserve"> los seniors encuentran dificultades tan destacadas</w:t>
      </w:r>
      <w:r w:rsidR="008678E5">
        <w:rPr>
          <w:rFonts w:ascii="Arial" w:hAnsi="Arial" w:cs="Arial"/>
          <w:color w:val="000000"/>
          <w:sz w:val="20"/>
          <w:szCs w:val="20"/>
        </w:rPr>
        <w:t xml:space="preserve"> en el plano laboral</w:t>
      </w:r>
      <w:r w:rsidR="00590891">
        <w:rPr>
          <w:rFonts w:ascii="Arial" w:hAnsi="Arial" w:cs="Arial"/>
          <w:color w:val="000000"/>
          <w:sz w:val="20"/>
          <w:szCs w:val="20"/>
        </w:rPr>
        <w:t xml:space="preserve">, podemos subrayar fundamentalmente dos. Por un lado, es frecuente la </w:t>
      </w:r>
      <w:r w:rsidR="00590891" w:rsidRPr="008678E5">
        <w:rPr>
          <w:rFonts w:ascii="Arial" w:hAnsi="Arial" w:cs="Arial"/>
          <w:b/>
          <w:color w:val="000000"/>
          <w:sz w:val="20"/>
          <w:szCs w:val="20"/>
        </w:rPr>
        <w:t>desactualización de competencias</w:t>
      </w:r>
      <w:r w:rsidR="008678E5">
        <w:rPr>
          <w:rFonts w:ascii="Arial" w:hAnsi="Arial" w:cs="Arial"/>
          <w:color w:val="000000"/>
          <w:sz w:val="20"/>
          <w:szCs w:val="20"/>
        </w:rPr>
        <w:t>. Tras perder su empleo de toda la vida o</w:t>
      </w:r>
      <w:r w:rsidR="00D26C2F">
        <w:rPr>
          <w:rFonts w:ascii="Arial" w:hAnsi="Arial" w:cs="Arial"/>
          <w:color w:val="000000"/>
          <w:sz w:val="20"/>
          <w:szCs w:val="20"/>
        </w:rPr>
        <w:t xml:space="preserve"> después de</w:t>
      </w:r>
      <w:r w:rsidR="008678E5">
        <w:rPr>
          <w:rFonts w:ascii="Arial" w:hAnsi="Arial" w:cs="Arial"/>
          <w:color w:val="000000"/>
          <w:sz w:val="20"/>
          <w:szCs w:val="20"/>
        </w:rPr>
        <w:t xml:space="preserve"> largos periodos de </w:t>
      </w:r>
      <w:r w:rsidR="00D26C2F">
        <w:rPr>
          <w:rFonts w:ascii="Arial" w:hAnsi="Arial" w:cs="Arial"/>
          <w:color w:val="000000"/>
          <w:sz w:val="20"/>
          <w:szCs w:val="20"/>
        </w:rPr>
        <w:t>in</w:t>
      </w:r>
      <w:r w:rsidR="008678E5">
        <w:rPr>
          <w:rFonts w:ascii="Arial" w:hAnsi="Arial" w:cs="Arial"/>
          <w:color w:val="000000"/>
          <w:sz w:val="20"/>
          <w:szCs w:val="20"/>
        </w:rPr>
        <w:t xml:space="preserve">actividad, se enfrentan a un mercado diferente al que conocían, con un gran desconocimiento en cuanto a las nuevas fórmulas de búsqueda de trabajo. </w:t>
      </w:r>
    </w:p>
    <w:p w:rsidR="00601D7C" w:rsidRDefault="00601D7C" w:rsidP="00590891">
      <w:pPr>
        <w:shd w:val="clear" w:color="auto" w:fill="FFFFFF"/>
        <w:spacing w:before="100" w:beforeAutospacing="1" w:after="120" w:line="240" w:lineRule="auto"/>
        <w:jc w:val="both"/>
        <w:rPr>
          <w:rFonts w:ascii="Arial" w:hAnsi="Arial" w:cs="Arial"/>
          <w:color w:val="000000"/>
          <w:sz w:val="20"/>
          <w:szCs w:val="20"/>
        </w:rPr>
      </w:pPr>
    </w:p>
    <w:p w:rsidR="00601D7C" w:rsidRDefault="000366D6" w:rsidP="00970874">
      <w:pPr>
        <w:shd w:val="clear" w:color="auto" w:fill="FFFFFF"/>
        <w:spacing w:before="100" w:beforeAutospacing="1" w:after="120" w:line="240" w:lineRule="auto"/>
        <w:ind w:firstLine="708"/>
        <w:jc w:val="center"/>
        <w:rPr>
          <w:rFonts w:ascii="Arial" w:hAnsi="Arial" w:cs="Arial"/>
          <w:color w:val="000000"/>
          <w:sz w:val="20"/>
          <w:szCs w:val="20"/>
        </w:rPr>
      </w:pPr>
      <w:r>
        <w:rPr>
          <w:rFonts w:ascii="Arial" w:hAnsi="Arial" w:cs="Arial"/>
          <w:color w:val="000000"/>
          <w:sz w:val="20"/>
          <w:szCs w:val="20"/>
        </w:rPr>
        <w:t>Fuente: Encuesta Fundación Adecco</w:t>
      </w:r>
    </w:p>
    <w:p w:rsidR="008678E5" w:rsidRPr="00914A34" w:rsidRDefault="008678E5" w:rsidP="00590891">
      <w:pPr>
        <w:shd w:val="clear" w:color="auto" w:fill="FFFFFF"/>
        <w:spacing w:before="100" w:beforeAutospacing="1" w:after="120" w:line="240" w:lineRule="auto"/>
        <w:jc w:val="both"/>
        <w:rPr>
          <w:rFonts w:ascii="Arial" w:hAnsi="Arial" w:cs="Arial"/>
          <w:b/>
          <w:color w:val="000000"/>
          <w:sz w:val="20"/>
          <w:szCs w:val="20"/>
        </w:rPr>
      </w:pPr>
      <w:r>
        <w:rPr>
          <w:rFonts w:ascii="Arial" w:hAnsi="Arial" w:cs="Arial"/>
          <w:color w:val="000000"/>
          <w:sz w:val="20"/>
          <w:szCs w:val="20"/>
        </w:rPr>
        <w:t>En este caso, Mesonero apunta la necesidad de “</w:t>
      </w:r>
      <w:r w:rsidRPr="008678E5">
        <w:rPr>
          <w:rFonts w:ascii="Arial" w:hAnsi="Arial" w:cs="Arial"/>
          <w:b/>
          <w:color w:val="000000"/>
          <w:sz w:val="20"/>
          <w:szCs w:val="20"/>
        </w:rPr>
        <w:t>acompañar a los mayores de 55 años en su reciclaje profesional, dotándoles de habilidades, recursos y conocimientos para que puedan competir en el mercado laboral. El objetivo ha de ser equipara</w:t>
      </w:r>
      <w:r w:rsidR="005E38FE">
        <w:rPr>
          <w:rFonts w:ascii="Arial" w:hAnsi="Arial" w:cs="Arial"/>
          <w:b/>
          <w:color w:val="000000"/>
          <w:sz w:val="20"/>
          <w:szCs w:val="20"/>
        </w:rPr>
        <w:t>r a los mayores con los jóvenes</w:t>
      </w:r>
      <w:r w:rsidRPr="008678E5">
        <w:rPr>
          <w:rFonts w:ascii="Arial" w:hAnsi="Arial" w:cs="Arial"/>
          <w:b/>
          <w:color w:val="000000"/>
          <w:sz w:val="20"/>
          <w:szCs w:val="20"/>
        </w:rPr>
        <w:t xml:space="preserve"> en materia de formación, de modo que su experiencia se convierta en un valor añadido”.</w:t>
      </w:r>
    </w:p>
    <w:p w:rsidR="008678E5" w:rsidRPr="008678E5" w:rsidRDefault="008678E5" w:rsidP="0036180D">
      <w:pPr>
        <w:shd w:val="clear" w:color="auto" w:fill="FFFFFF"/>
        <w:spacing w:before="100" w:beforeAutospacing="1" w:after="120" w:line="240" w:lineRule="auto"/>
        <w:jc w:val="both"/>
        <w:rPr>
          <w:rFonts w:ascii="Arial" w:hAnsi="Arial" w:cs="Arial"/>
          <w:color w:val="000000"/>
          <w:sz w:val="20"/>
          <w:szCs w:val="20"/>
        </w:rPr>
      </w:pPr>
      <w:r w:rsidRPr="008678E5">
        <w:rPr>
          <w:rFonts w:ascii="Arial" w:hAnsi="Arial" w:cs="Arial"/>
          <w:color w:val="000000"/>
          <w:sz w:val="20"/>
          <w:szCs w:val="20"/>
        </w:rPr>
        <w:t xml:space="preserve">Sin embargo, </w:t>
      </w:r>
      <w:r>
        <w:rPr>
          <w:rFonts w:ascii="Arial" w:hAnsi="Arial" w:cs="Arial"/>
          <w:color w:val="000000"/>
          <w:sz w:val="20"/>
          <w:szCs w:val="20"/>
        </w:rPr>
        <w:t>el gran freno lo constituyen los prejuicios y estereotipos tan arraigados en el plano social y empresarial. “</w:t>
      </w:r>
      <w:r w:rsidRPr="008678E5">
        <w:rPr>
          <w:rFonts w:ascii="Arial" w:hAnsi="Arial" w:cs="Arial"/>
          <w:b/>
          <w:color w:val="000000"/>
          <w:sz w:val="20"/>
          <w:szCs w:val="20"/>
        </w:rPr>
        <w:t>De nada sirve empoderar a los mayores si luego se encuentran con un mercado laboral que les d</w:t>
      </w:r>
      <w:r>
        <w:rPr>
          <w:rFonts w:ascii="Arial" w:hAnsi="Arial" w:cs="Arial"/>
          <w:b/>
          <w:color w:val="000000"/>
          <w:sz w:val="20"/>
          <w:szCs w:val="20"/>
        </w:rPr>
        <w:t>a</w:t>
      </w:r>
      <w:r w:rsidRPr="008678E5">
        <w:rPr>
          <w:rFonts w:ascii="Arial" w:hAnsi="Arial" w:cs="Arial"/>
          <w:b/>
          <w:color w:val="000000"/>
          <w:sz w:val="20"/>
          <w:szCs w:val="20"/>
        </w:rPr>
        <w:t xml:space="preserve"> la espalda</w:t>
      </w:r>
      <w:r>
        <w:rPr>
          <w:rFonts w:ascii="Arial" w:hAnsi="Arial" w:cs="Arial"/>
          <w:color w:val="000000"/>
          <w:sz w:val="20"/>
          <w:szCs w:val="20"/>
        </w:rPr>
        <w:t>”- recalca Mesonero.</w:t>
      </w:r>
    </w:p>
    <w:p w:rsidR="003226F1" w:rsidRDefault="004E6E2C" w:rsidP="003226F1">
      <w:pPr>
        <w:shd w:val="clear" w:color="auto" w:fill="FFFFFF"/>
        <w:spacing w:before="100" w:beforeAutospacing="1" w:after="120" w:line="240" w:lineRule="auto"/>
        <w:jc w:val="both"/>
        <w:rPr>
          <w:rFonts w:ascii="Arial" w:hAnsi="Arial" w:cs="Arial"/>
          <w:color w:val="000000"/>
          <w:sz w:val="20"/>
          <w:szCs w:val="20"/>
        </w:rPr>
      </w:pPr>
      <w:r>
        <w:rPr>
          <w:noProof/>
        </w:rPr>
        <w:drawing>
          <wp:anchor distT="0" distB="0" distL="114300" distR="114300" simplePos="0" relativeHeight="251665408" behindDoc="0" locked="0" layoutInCell="1" allowOverlap="1">
            <wp:simplePos x="0" y="0"/>
            <wp:positionH relativeFrom="margin">
              <wp:posOffset>2762250</wp:posOffset>
            </wp:positionH>
            <wp:positionV relativeFrom="margin">
              <wp:posOffset>4362450</wp:posOffset>
            </wp:positionV>
            <wp:extent cx="2919413" cy="1838325"/>
            <wp:effectExtent l="0" t="0" r="14605" b="9525"/>
            <wp:wrapSquare wrapText="bothSides"/>
            <wp:docPr id="2" name="Gráfico 2">
              <a:extLst xmlns:a="http://schemas.openxmlformats.org/drawingml/2006/main">
                <a:ext uri="{FF2B5EF4-FFF2-40B4-BE49-F238E27FC236}">
                  <a16:creationId xmlns:a16="http://schemas.microsoft.com/office/drawing/2014/main" id="{0EA911DC-93C3-461F-AB08-51084FC7DF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B55955">
        <w:rPr>
          <w:noProof/>
        </w:rPr>
        <w:drawing>
          <wp:anchor distT="0" distB="0" distL="114300" distR="114300" simplePos="0" relativeHeight="251664384" behindDoc="0" locked="0" layoutInCell="1" allowOverlap="1">
            <wp:simplePos x="0" y="0"/>
            <wp:positionH relativeFrom="margin">
              <wp:posOffset>8890</wp:posOffset>
            </wp:positionH>
            <wp:positionV relativeFrom="margin">
              <wp:posOffset>4352925</wp:posOffset>
            </wp:positionV>
            <wp:extent cx="2713990" cy="1790065"/>
            <wp:effectExtent l="0" t="0" r="10160" b="635"/>
            <wp:wrapSquare wrapText="bothSides"/>
            <wp:docPr id="8" name="Gráfico 8">
              <a:extLst xmlns:a="http://schemas.openxmlformats.org/drawingml/2006/main">
                <a:ext uri="{FF2B5EF4-FFF2-40B4-BE49-F238E27FC236}">
                  <a16:creationId xmlns:a16="http://schemas.microsoft.com/office/drawing/2014/main" id="{B2DF5E2D-10BA-4ED5-A6BE-B1BDFB031D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CD10C8">
        <w:rPr>
          <w:rFonts w:ascii="Arial" w:hAnsi="Arial" w:cs="Arial"/>
          <w:color w:val="000000"/>
          <w:sz w:val="20"/>
          <w:szCs w:val="20"/>
        </w:rPr>
        <w:t>Como dato a resaltar</w:t>
      </w:r>
      <w:r w:rsidR="008678E5" w:rsidRPr="008678E5">
        <w:rPr>
          <w:rFonts w:ascii="Arial" w:hAnsi="Arial" w:cs="Arial"/>
          <w:color w:val="000000"/>
          <w:sz w:val="20"/>
          <w:szCs w:val="20"/>
        </w:rPr>
        <w:t xml:space="preserve">, un </w:t>
      </w:r>
      <w:r w:rsidR="008678E5" w:rsidRPr="008678E5">
        <w:rPr>
          <w:rFonts w:ascii="Arial" w:hAnsi="Arial" w:cs="Arial"/>
          <w:b/>
          <w:color w:val="000000"/>
          <w:sz w:val="20"/>
          <w:szCs w:val="20"/>
        </w:rPr>
        <w:t>83% de los responsables de Recursos Humanos no ha seleccionado a ningún mayor de 55 años durante el último año</w:t>
      </w:r>
      <w:r w:rsidR="008678E5" w:rsidRPr="008678E5">
        <w:rPr>
          <w:rFonts w:ascii="Arial" w:hAnsi="Arial" w:cs="Arial"/>
          <w:color w:val="000000"/>
          <w:sz w:val="20"/>
          <w:szCs w:val="20"/>
        </w:rPr>
        <w:t xml:space="preserve">. La encuesta de la Fundación Adecco ha profundizado en cuáles son las causas que han llevado al seleccionador a descartar al profesional senior. Es significativo cómo </w:t>
      </w:r>
      <w:r>
        <w:rPr>
          <w:rFonts w:ascii="Arial" w:hAnsi="Arial" w:cs="Arial"/>
          <w:b/>
          <w:color w:val="000000"/>
          <w:sz w:val="20"/>
          <w:szCs w:val="20"/>
        </w:rPr>
        <w:t>4 de cada 10 (40</w:t>
      </w:r>
      <w:r w:rsidR="008678E5" w:rsidRPr="008678E5">
        <w:rPr>
          <w:rFonts w:ascii="Arial" w:hAnsi="Arial" w:cs="Arial"/>
          <w:b/>
          <w:color w:val="000000"/>
          <w:sz w:val="20"/>
          <w:szCs w:val="20"/>
        </w:rPr>
        <w:t xml:space="preserve">%) admite que la edad le genera dudas para el desempeño del puesto, </w:t>
      </w:r>
      <w:r w:rsidR="008678E5" w:rsidRPr="008678E5">
        <w:rPr>
          <w:rFonts w:ascii="Arial" w:hAnsi="Arial" w:cs="Arial"/>
          <w:color w:val="000000"/>
          <w:sz w:val="20"/>
          <w:szCs w:val="20"/>
        </w:rPr>
        <w:t xml:space="preserve">alegando los siguientes motivos: “sus conocimientos </w:t>
      </w:r>
      <w:r w:rsidR="008678E5" w:rsidRPr="008678E5">
        <w:rPr>
          <w:rFonts w:ascii="Arial" w:hAnsi="Arial" w:cs="Arial"/>
          <w:color w:val="000000"/>
          <w:sz w:val="20"/>
          <w:szCs w:val="20"/>
        </w:rPr>
        <w:lastRenderedPageBreak/>
        <w:t>estarán obsoletos” (75%), “tendrá una menor flexibilidad” (60%) “no encajará en una plantilla mayoritariamente más joven” (34%) o su absentismo será superior, debido a mayores problemas de salud (25%).</w:t>
      </w:r>
      <w:r w:rsidR="003226F1">
        <w:rPr>
          <w:rFonts w:ascii="Arial" w:hAnsi="Arial" w:cs="Arial"/>
          <w:color w:val="000000"/>
          <w:sz w:val="20"/>
          <w:szCs w:val="20"/>
        </w:rPr>
        <w:t xml:space="preserve"> </w:t>
      </w:r>
    </w:p>
    <w:p w:rsidR="00E22945" w:rsidRDefault="004E6E2C" w:rsidP="0036180D">
      <w:pPr>
        <w:shd w:val="clear" w:color="auto" w:fill="FFFFFF"/>
        <w:spacing w:before="100" w:beforeAutospacing="1" w:after="120" w:line="240" w:lineRule="auto"/>
        <w:jc w:val="both"/>
        <w:rPr>
          <w:rFonts w:ascii="Arial" w:hAnsi="Arial" w:cs="Arial"/>
          <w:color w:val="000000"/>
          <w:sz w:val="20"/>
          <w:szCs w:val="20"/>
        </w:rPr>
      </w:pPr>
      <w:r>
        <w:rPr>
          <w:rFonts w:ascii="Arial" w:hAnsi="Arial" w:cs="Arial"/>
          <w:color w:val="000000"/>
          <w:sz w:val="20"/>
          <w:szCs w:val="20"/>
        </w:rPr>
        <w:t>Por otra parte, un 45</w:t>
      </w:r>
      <w:r w:rsidR="003226F1">
        <w:rPr>
          <w:rFonts w:ascii="Arial" w:hAnsi="Arial" w:cs="Arial"/>
          <w:color w:val="000000"/>
          <w:sz w:val="20"/>
          <w:szCs w:val="20"/>
        </w:rPr>
        <w:t>% destaca que no ha contratado a ningún senior porque no ha tenido oportunidad de hacerlo, al no haber recibido candi</w:t>
      </w:r>
      <w:r w:rsidR="00355B7C">
        <w:rPr>
          <w:rFonts w:ascii="Arial" w:hAnsi="Arial" w:cs="Arial"/>
          <w:color w:val="000000"/>
          <w:sz w:val="20"/>
          <w:szCs w:val="20"/>
        </w:rPr>
        <w:t>daturas de este grupo de edad. Y, p</w:t>
      </w:r>
      <w:r>
        <w:rPr>
          <w:rFonts w:ascii="Arial" w:hAnsi="Arial" w:cs="Arial"/>
          <w:color w:val="000000"/>
          <w:sz w:val="20"/>
          <w:szCs w:val="20"/>
        </w:rPr>
        <w:t>or último, un 5</w:t>
      </w:r>
      <w:r w:rsidR="003226F1">
        <w:rPr>
          <w:rFonts w:ascii="Arial" w:hAnsi="Arial" w:cs="Arial"/>
          <w:color w:val="000000"/>
          <w:sz w:val="20"/>
          <w:szCs w:val="20"/>
        </w:rPr>
        <w:t>% alega otros motivos por los que no ha incorporado a ningún trabajador mayor a su plantilla.</w:t>
      </w:r>
    </w:p>
    <w:p w:rsidR="00D1068C" w:rsidRDefault="00C80784" w:rsidP="00E22945">
      <w:pPr>
        <w:shd w:val="clear" w:color="auto" w:fill="FFFFFF"/>
        <w:spacing w:before="100" w:beforeAutospacing="1" w:after="120" w:line="240" w:lineRule="auto"/>
        <w:ind w:firstLine="708"/>
        <w:jc w:val="center"/>
        <w:rPr>
          <w:rFonts w:ascii="Arial" w:hAnsi="Arial" w:cs="Arial"/>
          <w:color w:val="000000"/>
          <w:sz w:val="20"/>
          <w:szCs w:val="20"/>
        </w:rPr>
      </w:pPr>
      <w:r>
        <w:rPr>
          <w:noProof/>
        </w:rPr>
        <w:drawing>
          <wp:inline distT="0" distB="0" distL="0" distR="0" wp14:anchorId="7042BA66" wp14:editId="203E91D4">
            <wp:extent cx="5400040" cy="3188970"/>
            <wp:effectExtent l="0" t="0" r="10160" b="11430"/>
            <wp:docPr id="10" name="Gráfico 10">
              <a:extLst xmlns:a="http://schemas.openxmlformats.org/drawingml/2006/main">
                <a:ext uri="{FF2B5EF4-FFF2-40B4-BE49-F238E27FC236}">
                  <a16:creationId xmlns:a16="http://schemas.microsoft.com/office/drawing/2014/main" id="{F6AC9BB0-DBFA-4FBE-9B90-2136AB8ECC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80784" w:rsidRDefault="00C80784" w:rsidP="00C80784">
      <w:pPr>
        <w:shd w:val="clear" w:color="auto" w:fill="FFFFFF"/>
        <w:spacing w:before="100" w:beforeAutospacing="1" w:after="120" w:line="240" w:lineRule="auto"/>
        <w:ind w:firstLine="708"/>
        <w:jc w:val="center"/>
        <w:rPr>
          <w:rFonts w:ascii="Arial" w:hAnsi="Arial" w:cs="Arial"/>
          <w:color w:val="000000"/>
          <w:sz w:val="20"/>
          <w:szCs w:val="20"/>
        </w:rPr>
      </w:pPr>
      <w:r>
        <w:rPr>
          <w:rFonts w:ascii="Arial" w:hAnsi="Arial" w:cs="Arial"/>
          <w:color w:val="000000"/>
          <w:sz w:val="20"/>
          <w:szCs w:val="20"/>
        </w:rPr>
        <w:t>Fuente: Encuesta Fundación Adecco</w:t>
      </w:r>
    </w:p>
    <w:p w:rsidR="00B25B53" w:rsidRDefault="00B25B53" w:rsidP="008678E5">
      <w:pPr>
        <w:shd w:val="clear" w:color="auto" w:fill="FFFFFF"/>
        <w:spacing w:before="100" w:beforeAutospacing="1" w:after="120" w:line="240" w:lineRule="auto"/>
        <w:jc w:val="both"/>
        <w:rPr>
          <w:rFonts w:ascii="Arial" w:hAnsi="Arial" w:cs="Arial"/>
          <w:b/>
          <w:color w:val="000000"/>
          <w:sz w:val="20"/>
          <w:szCs w:val="20"/>
        </w:rPr>
      </w:pPr>
      <w:r w:rsidRPr="00B25B53">
        <w:rPr>
          <w:rFonts w:ascii="Arial" w:hAnsi="Arial" w:cs="Arial"/>
          <w:color w:val="000000"/>
          <w:sz w:val="20"/>
          <w:szCs w:val="20"/>
        </w:rPr>
        <w:t>Según Mesonero</w:t>
      </w:r>
      <w:r>
        <w:rPr>
          <w:rFonts w:ascii="Arial" w:hAnsi="Arial" w:cs="Arial"/>
          <w:b/>
          <w:color w:val="000000"/>
          <w:sz w:val="20"/>
          <w:szCs w:val="20"/>
        </w:rPr>
        <w:t>: “Estas creencias son producto de prejuicios y estereotipos muy asentados en el imaginario social, que se trasladan a las empresas y dan lugar a la discriminación por edad. Sin embargo, son pensamientos anacrónicos que empobrecen a las organizaciones y a la sociedad en su conjunto, al desechar valores tan habitualmente presentes en los seniors como la experiencia, la madurez, la templanza o la fidelidad. Además, resulta un absoluto contrasentido discriminar a un trabajador maduro, en una sociedad en máximos históricos de envejecimiento en la que la fuerza laboral senior va a ser la dominante</w:t>
      </w:r>
      <w:r w:rsidR="000E44C2">
        <w:rPr>
          <w:rFonts w:ascii="Arial" w:hAnsi="Arial" w:cs="Arial"/>
          <w:b/>
          <w:color w:val="000000"/>
          <w:sz w:val="20"/>
          <w:szCs w:val="20"/>
        </w:rPr>
        <w:t xml:space="preserve"> y en la que la edad de jubilación tiende a incrementarse</w:t>
      </w:r>
      <w:bookmarkStart w:id="0" w:name="_GoBack"/>
      <w:bookmarkEnd w:id="0"/>
      <w:r>
        <w:rPr>
          <w:rFonts w:ascii="Arial" w:hAnsi="Arial" w:cs="Arial"/>
          <w:b/>
          <w:color w:val="000000"/>
          <w:sz w:val="20"/>
          <w:szCs w:val="20"/>
        </w:rPr>
        <w:t>”</w:t>
      </w:r>
      <w:r w:rsidR="007D2873">
        <w:rPr>
          <w:rFonts w:ascii="Arial" w:hAnsi="Arial" w:cs="Arial"/>
          <w:b/>
          <w:color w:val="000000"/>
          <w:sz w:val="20"/>
          <w:szCs w:val="20"/>
        </w:rPr>
        <w:t>.</w:t>
      </w:r>
    </w:p>
    <w:p w:rsidR="007D2873" w:rsidRPr="00C46E32" w:rsidRDefault="007D2873" w:rsidP="008678E5">
      <w:pPr>
        <w:shd w:val="clear" w:color="auto" w:fill="FFFFFF"/>
        <w:spacing w:before="100" w:beforeAutospacing="1" w:after="120" w:line="240" w:lineRule="auto"/>
        <w:jc w:val="both"/>
        <w:rPr>
          <w:rFonts w:ascii="Arial" w:hAnsi="Arial" w:cs="Arial"/>
          <w:b/>
          <w:color w:val="000000"/>
          <w:sz w:val="20"/>
          <w:szCs w:val="20"/>
        </w:rPr>
      </w:pPr>
      <w:r w:rsidRPr="00C46E32">
        <w:rPr>
          <w:rFonts w:ascii="Arial" w:hAnsi="Arial" w:cs="Arial"/>
          <w:color w:val="000000"/>
          <w:sz w:val="20"/>
          <w:szCs w:val="20"/>
        </w:rPr>
        <w:t>Los prejuicios a los que se enfrentan los mayores de 55 años tienen un impacto directo en su autoestima</w:t>
      </w:r>
      <w:r w:rsidR="00C46E32" w:rsidRPr="00C46E32">
        <w:rPr>
          <w:rFonts w:ascii="Arial" w:hAnsi="Arial" w:cs="Arial"/>
          <w:color w:val="000000"/>
          <w:sz w:val="20"/>
          <w:szCs w:val="20"/>
        </w:rPr>
        <w:t xml:space="preserve">. Así, el 90% opina que su edad le perjudica en la búsqueda de empleo y admite sentir inseguridad cuando acude a las entrevistas de trabajo. De hecho, un </w:t>
      </w:r>
      <w:r w:rsidR="00B61D40">
        <w:rPr>
          <w:rFonts w:ascii="Arial" w:hAnsi="Arial" w:cs="Arial"/>
          <w:b/>
          <w:color w:val="000000"/>
          <w:sz w:val="20"/>
          <w:szCs w:val="20"/>
        </w:rPr>
        <w:t>58</w:t>
      </w:r>
      <w:r w:rsidR="00C46E32" w:rsidRPr="00C46E32">
        <w:rPr>
          <w:rFonts w:ascii="Arial" w:hAnsi="Arial" w:cs="Arial"/>
          <w:b/>
          <w:color w:val="000000"/>
          <w:sz w:val="20"/>
          <w:szCs w:val="20"/>
        </w:rPr>
        <w:t>% considera que no podrá volver a trabajar nunca.</w:t>
      </w:r>
    </w:p>
    <w:p w:rsidR="00B61D40" w:rsidRDefault="00B61D40" w:rsidP="00B61D40">
      <w:pPr>
        <w:shd w:val="clear" w:color="auto" w:fill="FFFFFF"/>
        <w:spacing w:before="100" w:beforeAutospacing="1" w:after="120" w:line="240" w:lineRule="auto"/>
        <w:jc w:val="center"/>
        <w:rPr>
          <w:rFonts w:ascii="Arial" w:hAnsi="Arial" w:cs="Arial"/>
          <w:b/>
          <w:color w:val="808080" w:themeColor="background1" w:themeShade="80"/>
        </w:rPr>
      </w:pPr>
      <w:r>
        <w:rPr>
          <w:noProof/>
        </w:rPr>
        <w:lastRenderedPageBreak/>
        <w:drawing>
          <wp:inline distT="0" distB="0" distL="0" distR="0" wp14:anchorId="3688B570" wp14:editId="35A56746">
            <wp:extent cx="4572000" cy="2743200"/>
            <wp:effectExtent l="0" t="0" r="0" b="0"/>
            <wp:docPr id="14" name="Gráfico 14">
              <a:extLst xmlns:a="http://schemas.openxmlformats.org/drawingml/2006/main">
                <a:ext uri="{FF2B5EF4-FFF2-40B4-BE49-F238E27FC236}">
                  <a16:creationId xmlns:a16="http://schemas.microsoft.com/office/drawing/2014/main" id="{E27FC966-E88C-4B46-B198-8EC8F163C9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1D40" w:rsidRPr="009D229C" w:rsidRDefault="00B61D40" w:rsidP="009D229C">
      <w:pPr>
        <w:shd w:val="clear" w:color="auto" w:fill="FFFFFF"/>
        <w:spacing w:before="100" w:beforeAutospacing="1" w:after="120" w:line="240" w:lineRule="auto"/>
        <w:ind w:firstLine="708"/>
        <w:jc w:val="center"/>
        <w:rPr>
          <w:rFonts w:ascii="Arial" w:hAnsi="Arial" w:cs="Arial"/>
          <w:color w:val="000000"/>
          <w:sz w:val="20"/>
          <w:szCs w:val="20"/>
        </w:rPr>
      </w:pPr>
      <w:r>
        <w:rPr>
          <w:rFonts w:ascii="Arial" w:hAnsi="Arial" w:cs="Arial"/>
          <w:color w:val="000000"/>
          <w:sz w:val="20"/>
          <w:szCs w:val="20"/>
        </w:rPr>
        <w:t>Fuente: Encuesta Fundación Adecco</w:t>
      </w:r>
    </w:p>
    <w:p w:rsidR="00EB233B" w:rsidRDefault="00EB233B" w:rsidP="00676AA6">
      <w:pPr>
        <w:pStyle w:val="Default"/>
        <w:jc w:val="both"/>
        <w:rPr>
          <w:rFonts w:ascii="Arial" w:hAnsi="Arial" w:cs="Arial"/>
          <w:b/>
          <w:bCs/>
          <w:i/>
          <w:iCs/>
          <w:sz w:val="18"/>
          <w:szCs w:val="18"/>
        </w:rPr>
      </w:pPr>
    </w:p>
    <w:p w:rsidR="00066DC0" w:rsidRDefault="00066DC0" w:rsidP="00066DC0">
      <w:pPr>
        <w:jc w:val="both"/>
        <w:rPr>
          <w:rFonts w:ascii="Arial" w:hAnsi="Arial" w:cs="Arial"/>
          <w:b/>
          <w:color w:val="808080" w:themeColor="background1" w:themeShade="80"/>
        </w:rPr>
      </w:pPr>
      <w:r>
        <w:rPr>
          <w:rFonts w:ascii="Arial" w:hAnsi="Arial" w:cs="Arial"/>
          <w:b/>
          <w:color w:val="808080" w:themeColor="background1" w:themeShade="80"/>
        </w:rPr>
        <w:t xml:space="preserve">Un </w:t>
      </w:r>
      <w:r w:rsidRPr="004B1F76">
        <w:rPr>
          <w:rFonts w:ascii="Arial" w:hAnsi="Arial" w:cs="Arial"/>
          <w:b/>
          <w:color w:val="FF0000"/>
        </w:rPr>
        <w:t xml:space="preserve">21% </w:t>
      </w:r>
      <w:r>
        <w:rPr>
          <w:rFonts w:ascii="Arial" w:hAnsi="Arial" w:cs="Arial"/>
          <w:b/>
          <w:color w:val="808080" w:themeColor="background1" w:themeShade="80"/>
        </w:rPr>
        <w:t>de los mayores de 55 años que han acudido a la F.</w:t>
      </w:r>
      <w:r w:rsidR="002B0791">
        <w:rPr>
          <w:rFonts w:ascii="Arial" w:hAnsi="Arial" w:cs="Arial"/>
          <w:b/>
          <w:color w:val="808080" w:themeColor="background1" w:themeShade="80"/>
        </w:rPr>
        <w:t xml:space="preserve"> </w:t>
      </w:r>
      <w:r>
        <w:rPr>
          <w:rFonts w:ascii="Arial" w:hAnsi="Arial" w:cs="Arial"/>
          <w:b/>
          <w:color w:val="808080" w:themeColor="background1" w:themeShade="80"/>
        </w:rPr>
        <w:t>Adecco han encontrado empleo</w:t>
      </w:r>
    </w:p>
    <w:p w:rsidR="00066DC0" w:rsidRDefault="00066DC0" w:rsidP="00066DC0">
      <w:pPr>
        <w:jc w:val="both"/>
        <w:rPr>
          <w:rFonts w:ascii="Arial" w:hAnsi="Arial" w:cs="Arial"/>
          <w:color w:val="000000" w:themeColor="text1"/>
          <w:sz w:val="20"/>
          <w:szCs w:val="20"/>
        </w:rPr>
      </w:pPr>
      <w:r w:rsidRPr="002A24D3">
        <w:rPr>
          <w:rFonts w:ascii="Arial" w:hAnsi="Arial" w:cs="Arial"/>
          <w:color w:val="000000" w:themeColor="text1"/>
          <w:sz w:val="20"/>
          <w:szCs w:val="20"/>
        </w:rPr>
        <w:t xml:space="preserve">Durante el último año, la Fundación Adecco ha </w:t>
      </w:r>
      <w:r>
        <w:rPr>
          <w:rFonts w:ascii="Arial" w:hAnsi="Arial" w:cs="Arial"/>
          <w:color w:val="000000" w:themeColor="text1"/>
          <w:sz w:val="20"/>
          <w:szCs w:val="20"/>
        </w:rPr>
        <w:t>generad</w:t>
      </w:r>
      <w:r w:rsidRPr="002A24D3">
        <w:rPr>
          <w:rFonts w:ascii="Arial" w:hAnsi="Arial" w:cs="Arial"/>
          <w:color w:val="000000" w:themeColor="text1"/>
          <w:sz w:val="20"/>
          <w:szCs w:val="20"/>
        </w:rPr>
        <w:t xml:space="preserve">o empleo </w:t>
      </w:r>
      <w:r>
        <w:rPr>
          <w:rFonts w:ascii="Arial" w:hAnsi="Arial" w:cs="Arial"/>
          <w:color w:val="000000" w:themeColor="text1"/>
          <w:sz w:val="20"/>
          <w:szCs w:val="20"/>
        </w:rPr>
        <w:t>para</w:t>
      </w:r>
      <w:r w:rsidR="00E50E8E">
        <w:rPr>
          <w:rFonts w:ascii="Arial" w:hAnsi="Arial" w:cs="Arial"/>
          <w:color w:val="000000" w:themeColor="text1"/>
          <w:sz w:val="20"/>
          <w:szCs w:val="20"/>
        </w:rPr>
        <w:t xml:space="preserve"> </w:t>
      </w:r>
      <w:r w:rsidR="00E50E8E" w:rsidRPr="004F7E67">
        <w:rPr>
          <w:rFonts w:ascii="Arial" w:hAnsi="Arial" w:cs="Arial"/>
          <w:color w:val="FF0000"/>
          <w:sz w:val="20"/>
          <w:szCs w:val="20"/>
        </w:rPr>
        <w:t>808</w:t>
      </w:r>
      <w:r w:rsidRPr="002A24D3">
        <w:rPr>
          <w:rFonts w:ascii="Arial" w:hAnsi="Arial" w:cs="Arial"/>
          <w:color w:val="000000" w:themeColor="text1"/>
          <w:sz w:val="20"/>
          <w:szCs w:val="20"/>
        </w:rPr>
        <w:t xml:space="preserve"> personas mayores</w:t>
      </w:r>
      <w:r w:rsidR="00280B4E">
        <w:rPr>
          <w:rFonts w:ascii="Arial" w:hAnsi="Arial" w:cs="Arial"/>
          <w:color w:val="000000" w:themeColor="text1"/>
          <w:sz w:val="20"/>
          <w:szCs w:val="20"/>
        </w:rPr>
        <w:t xml:space="preserve"> </w:t>
      </w:r>
      <w:r w:rsidRPr="002A24D3">
        <w:rPr>
          <w:rFonts w:ascii="Arial" w:hAnsi="Arial" w:cs="Arial"/>
          <w:color w:val="000000" w:themeColor="text1"/>
          <w:sz w:val="20"/>
          <w:szCs w:val="20"/>
        </w:rPr>
        <w:t xml:space="preserve"> </w:t>
      </w:r>
      <w:r w:rsidR="00280B4E">
        <w:rPr>
          <w:rFonts w:ascii="Arial" w:hAnsi="Arial" w:cs="Arial"/>
          <w:color w:val="000000" w:themeColor="text1"/>
          <w:sz w:val="20"/>
          <w:szCs w:val="20"/>
        </w:rPr>
        <w:t xml:space="preserve"> de 55 años</w:t>
      </w:r>
      <w:r>
        <w:rPr>
          <w:rFonts w:ascii="Arial" w:hAnsi="Arial" w:cs="Arial"/>
          <w:color w:val="000000" w:themeColor="text1"/>
          <w:sz w:val="20"/>
          <w:szCs w:val="20"/>
        </w:rPr>
        <w:t xml:space="preserve">. Esta cifra equivale </w:t>
      </w:r>
      <w:r w:rsidRPr="002D7E29">
        <w:rPr>
          <w:rFonts w:ascii="Arial" w:hAnsi="Arial" w:cs="Arial"/>
          <w:color w:val="000000" w:themeColor="text1"/>
          <w:sz w:val="20"/>
          <w:szCs w:val="20"/>
        </w:rPr>
        <w:t>al</w:t>
      </w:r>
      <w:r w:rsidRPr="002D7E29">
        <w:rPr>
          <w:rFonts w:ascii="Arial" w:hAnsi="Arial" w:cs="Arial"/>
          <w:b/>
          <w:color w:val="000000" w:themeColor="text1"/>
          <w:sz w:val="20"/>
          <w:szCs w:val="20"/>
        </w:rPr>
        <w:t xml:space="preserve"> 21% del total de mayores de 55 años que han acudido a </w:t>
      </w:r>
      <w:r w:rsidR="00883ABC">
        <w:rPr>
          <w:rFonts w:ascii="Arial" w:hAnsi="Arial" w:cs="Arial"/>
          <w:b/>
          <w:color w:val="000000" w:themeColor="text1"/>
          <w:sz w:val="20"/>
          <w:szCs w:val="20"/>
        </w:rPr>
        <w:t xml:space="preserve">sus oficinas </w:t>
      </w:r>
      <w:r w:rsidRPr="002D7E29">
        <w:rPr>
          <w:rFonts w:ascii="Arial" w:hAnsi="Arial" w:cs="Arial"/>
          <w:b/>
          <w:color w:val="000000" w:themeColor="text1"/>
          <w:sz w:val="20"/>
          <w:szCs w:val="20"/>
        </w:rPr>
        <w:t>en el último año: un total de 1.432.</w:t>
      </w:r>
    </w:p>
    <w:p w:rsidR="00280B4E" w:rsidRDefault="00280B4E" w:rsidP="00066DC0">
      <w:pPr>
        <w:jc w:val="both"/>
        <w:rPr>
          <w:rFonts w:ascii="Arial" w:hAnsi="Arial" w:cs="Arial"/>
          <w:color w:val="000000" w:themeColor="text1"/>
          <w:sz w:val="20"/>
          <w:szCs w:val="20"/>
        </w:rPr>
      </w:pPr>
      <w:r>
        <w:rPr>
          <w:rFonts w:ascii="Arial" w:hAnsi="Arial" w:cs="Arial"/>
          <w:color w:val="000000" w:themeColor="text1"/>
          <w:sz w:val="20"/>
          <w:szCs w:val="20"/>
        </w:rPr>
        <w:t xml:space="preserve">Para ello, la Fundación Adecco acompaña a </w:t>
      </w:r>
      <w:r w:rsidR="00883ABC">
        <w:rPr>
          <w:rFonts w:ascii="Arial" w:hAnsi="Arial" w:cs="Arial"/>
          <w:color w:val="000000" w:themeColor="text1"/>
          <w:sz w:val="20"/>
          <w:szCs w:val="20"/>
        </w:rPr>
        <w:t xml:space="preserve">los </w:t>
      </w:r>
      <w:r>
        <w:rPr>
          <w:rFonts w:ascii="Arial" w:hAnsi="Arial" w:cs="Arial"/>
          <w:color w:val="000000" w:themeColor="text1"/>
          <w:sz w:val="20"/>
          <w:szCs w:val="20"/>
        </w:rPr>
        <w:t>desempleados</w:t>
      </w:r>
      <w:r w:rsidR="00883ABC">
        <w:rPr>
          <w:rFonts w:ascii="Arial" w:hAnsi="Arial" w:cs="Arial"/>
          <w:color w:val="000000" w:themeColor="text1"/>
          <w:sz w:val="20"/>
          <w:szCs w:val="20"/>
        </w:rPr>
        <w:t xml:space="preserve"> senior</w:t>
      </w:r>
      <w:r>
        <w:rPr>
          <w:rFonts w:ascii="Arial" w:hAnsi="Arial" w:cs="Arial"/>
          <w:color w:val="000000" w:themeColor="text1"/>
          <w:sz w:val="20"/>
          <w:szCs w:val="20"/>
        </w:rPr>
        <w:t xml:space="preserve">, en aras de dotarles de recursos y herramientas </w:t>
      </w:r>
      <w:r w:rsidR="00066DC0">
        <w:rPr>
          <w:rFonts w:ascii="Arial" w:hAnsi="Arial" w:cs="Arial"/>
          <w:color w:val="000000" w:themeColor="text1"/>
          <w:sz w:val="20"/>
          <w:szCs w:val="20"/>
        </w:rPr>
        <w:t>para afrontar con éxito un proceso de selección</w:t>
      </w:r>
      <w:r w:rsidR="00883ABC">
        <w:rPr>
          <w:rFonts w:ascii="Arial" w:hAnsi="Arial" w:cs="Arial"/>
          <w:color w:val="000000" w:themeColor="text1"/>
          <w:sz w:val="20"/>
          <w:szCs w:val="20"/>
        </w:rPr>
        <w:t>, apostando</w:t>
      </w:r>
      <w:r>
        <w:rPr>
          <w:rFonts w:ascii="Arial" w:hAnsi="Arial" w:cs="Arial"/>
          <w:color w:val="000000" w:themeColor="text1"/>
          <w:sz w:val="20"/>
          <w:szCs w:val="20"/>
        </w:rPr>
        <w:t xml:space="preserve"> por una </w:t>
      </w:r>
      <w:r w:rsidR="00066DC0">
        <w:rPr>
          <w:rFonts w:ascii="Arial" w:hAnsi="Arial" w:cs="Arial"/>
          <w:color w:val="000000" w:themeColor="text1"/>
          <w:sz w:val="20"/>
          <w:szCs w:val="20"/>
        </w:rPr>
        <w:t>atención t</w:t>
      </w:r>
      <w:r>
        <w:rPr>
          <w:rFonts w:ascii="Arial" w:hAnsi="Arial" w:cs="Arial"/>
          <w:color w:val="000000" w:themeColor="text1"/>
          <w:sz w:val="20"/>
          <w:szCs w:val="20"/>
        </w:rPr>
        <w:t>ransver</w:t>
      </w:r>
      <w:r w:rsidR="00883ABC">
        <w:rPr>
          <w:rFonts w:ascii="Arial" w:hAnsi="Arial" w:cs="Arial"/>
          <w:color w:val="000000" w:themeColor="text1"/>
          <w:sz w:val="20"/>
          <w:szCs w:val="20"/>
        </w:rPr>
        <w:t>sal e individualizada que incide</w:t>
      </w:r>
      <w:r>
        <w:rPr>
          <w:rFonts w:ascii="Arial" w:hAnsi="Arial" w:cs="Arial"/>
          <w:color w:val="000000" w:themeColor="text1"/>
          <w:sz w:val="20"/>
          <w:szCs w:val="20"/>
        </w:rPr>
        <w:t xml:space="preserve"> en todas las fases de búsqueda de trabajo: emocional (autoestima), competencial (conocimientos), empresarial (intermediación laboral), etc.</w:t>
      </w:r>
    </w:p>
    <w:p w:rsidR="00EB233B" w:rsidRPr="00280B4E" w:rsidRDefault="00280B4E" w:rsidP="00676AA6">
      <w:pPr>
        <w:pStyle w:val="Default"/>
        <w:jc w:val="both"/>
        <w:rPr>
          <w:rFonts w:ascii="Arial" w:eastAsiaTheme="minorHAnsi" w:hAnsi="Arial" w:cs="Arial"/>
          <w:color w:val="000000" w:themeColor="text1"/>
          <w:sz w:val="20"/>
          <w:szCs w:val="20"/>
        </w:rPr>
      </w:pPr>
      <w:r w:rsidRPr="00280B4E">
        <w:rPr>
          <w:rFonts w:ascii="Arial" w:eastAsiaTheme="minorHAnsi" w:hAnsi="Arial" w:cs="Arial"/>
          <w:color w:val="000000" w:themeColor="text1"/>
          <w:sz w:val="20"/>
          <w:szCs w:val="20"/>
        </w:rPr>
        <w:t>Según Mesonero: “</w:t>
      </w:r>
      <w:r>
        <w:rPr>
          <w:rFonts w:ascii="Arial" w:eastAsiaTheme="minorHAnsi" w:hAnsi="Arial" w:cs="Arial"/>
          <w:color w:val="000000" w:themeColor="text1"/>
          <w:sz w:val="20"/>
          <w:szCs w:val="20"/>
        </w:rPr>
        <w:t>trabajamos en paralelo con las empresas y las personas, para derribar barreras y prejuicios en las primeras y empoderar a las segundas, de cara a que cuenten con las herramientas necesarias para acceder a un puesto de trabajo y conservarlo. En el caso de los mayores de 55 años es muy necesario trabajar el reciclaje profesional, actualizando sus competencias para que conecten con las necesidades del mercado</w:t>
      </w:r>
      <w:r w:rsidR="00883ABC">
        <w:rPr>
          <w:rFonts w:ascii="Arial" w:eastAsiaTheme="minorHAnsi" w:hAnsi="Arial" w:cs="Arial"/>
          <w:color w:val="000000" w:themeColor="text1"/>
          <w:sz w:val="20"/>
          <w:szCs w:val="20"/>
        </w:rPr>
        <w:t xml:space="preserve"> del momento</w:t>
      </w:r>
      <w:r>
        <w:rPr>
          <w:rFonts w:ascii="Arial" w:eastAsiaTheme="minorHAnsi" w:hAnsi="Arial" w:cs="Arial"/>
          <w:color w:val="000000" w:themeColor="text1"/>
          <w:sz w:val="20"/>
          <w:szCs w:val="20"/>
        </w:rPr>
        <w:t>”.</w:t>
      </w:r>
    </w:p>
    <w:p w:rsidR="002A24D3" w:rsidRDefault="002A24D3" w:rsidP="00676AA6">
      <w:pPr>
        <w:pStyle w:val="Default"/>
        <w:jc w:val="both"/>
        <w:rPr>
          <w:rFonts w:ascii="Arial" w:hAnsi="Arial" w:cs="Arial"/>
          <w:b/>
          <w:bCs/>
          <w:i/>
          <w:iCs/>
          <w:sz w:val="18"/>
          <w:szCs w:val="18"/>
        </w:rPr>
      </w:pPr>
    </w:p>
    <w:p w:rsidR="004305FE" w:rsidRDefault="004305FE" w:rsidP="00676AA6">
      <w:pPr>
        <w:pStyle w:val="Default"/>
        <w:jc w:val="both"/>
        <w:rPr>
          <w:rFonts w:ascii="Arial" w:hAnsi="Arial" w:cs="Arial"/>
          <w:b/>
          <w:bCs/>
          <w:i/>
          <w:iCs/>
          <w:sz w:val="18"/>
          <w:szCs w:val="18"/>
        </w:rPr>
      </w:pPr>
    </w:p>
    <w:p w:rsidR="004305FE" w:rsidRDefault="004305FE" w:rsidP="00676AA6">
      <w:pPr>
        <w:pStyle w:val="Default"/>
        <w:jc w:val="both"/>
        <w:rPr>
          <w:rFonts w:ascii="Arial" w:hAnsi="Arial" w:cs="Arial"/>
          <w:b/>
          <w:bCs/>
          <w:i/>
          <w:iCs/>
          <w:sz w:val="18"/>
          <w:szCs w:val="18"/>
        </w:rPr>
      </w:pPr>
    </w:p>
    <w:p w:rsidR="004305FE" w:rsidRDefault="004305FE" w:rsidP="00676AA6">
      <w:pPr>
        <w:pStyle w:val="Default"/>
        <w:jc w:val="both"/>
        <w:rPr>
          <w:rFonts w:ascii="Arial" w:hAnsi="Arial" w:cs="Arial"/>
          <w:b/>
          <w:bCs/>
          <w:i/>
          <w:iCs/>
          <w:sz w:val="18"/>
          <w:szCs w:val="18"/>
        </w:rPr>
      </w:pPr>
    </w:p>
    <w:p w:rsidR="004305FE" w:rsidRDefault="004305FE" w:rsidP="00676AA6">
      <w:pPr>
        <w:pStyle w:val="Default"/>
        <w:jc w:val="both"/>
        <w:rPr>
          <w:rFonts w:ascii="Arial" w:hAnsi="Arial" w:cs="Arial"/>
          <w:b/>
          <w:bCs/>
          <w:i/>
          <w:iCs/>
          <w:sz w:val="18"/>
          <w:szCs w:val="18"/>
        </w:rPr>
      </w:pPr>
    </w:p>
    <w:p w:rsidR="004305FE" w:rsidRDefault="004305FE" w:rsidP="00676AA6">
      <w:pPr>
        <w:pStyle w:val="Default"/>
        <w:jc w:val="both"/>
        <w:rPr>
          <w:rFonts w:ascii="Arial" w:hAnsi="Arial" w:cs="Arial"/>
          <w:b/>
          <w:bCs/>
          <w:i/>
          <w:iCs/>
          <w:sz w:val="18"/>
          <w:szCs w:val="18"/>
        </w:rPr>
      </w:pPr>
    </w:p>
    <w:p w:rsidR="004305FE" w:rsidRDefault="004305FE" w:rsidP="00676AA6">
      <w:pPr>
        <w:pStyle w:val="Default"/>
        <w:jc w:val="both"/>
        <w:rPr>
          <w:rFonts w:ascii="Arial" w:hAnsi="Arial" w:cs="Arial"/>
          <w:b/>
          <w:bCs/>
          <w:i/>
          <w:iCs/>
          <w:sz w:val="18"/>
          <w:szCs w:val="18"/>
        </w:rPr>
      </w:pPr>
    </w:p>
    <w:p w:rsidR="004305FE" w:rsidRDefault="004305FE" w:rsidP="00676AA6">
      <w:pPr>
        <w:pStyle w:val="Default"/>
        <w:jc w:val="both"/>
        <w:rPr>
          <w:rFonts w:ascii="Arial" w:hAnsi="Arial" w:cs="Arial"/>
          <w:b/>
          <w:bCs/>
          <w:i/>
          <w:iCs/>
          <w:sz w:val="18"/>
          <w:szCs w:val="18"/>
        </w:rPr>
      </w:pPr>
    </w:p>
    <w:p w:rsidR="002A24D3" w:rsidRDefault="002A24D3" w:rsidP="00676AA6">
      <w:pPr>
        <w:pStyle w:val="Default"/>
        <w:jc w:val="both"/>
        <w:rPr>
          <w:rFonts w:ascii="Arial" w:hAnsi="Arial" w:cs="Arial"/>
          <w:b/>
          <w:bCs/>
          <w:i/>
          <w:iCs/>
          <w:sz w:val="18"/>
          <w:szCs w:val="18"/>
        </w:rPr>
      </w:pPr>
    </w:p>
    <w:p w:rsidR="00676AA6" w:rsidRDefault="00676AA6" w:rsidP="00676AA6">
      <w:pPr>
        <w:pStyle w:val="Default"/>
        <w:jc w:val="both"/>
        <w:rPr>
          <w:rFonts w:ascii="Arial" w:hAnsi="Arial" w:cs="Arial"/>
          <w:b/>
          <w:bCs/>
          <w:i/>
          <w:iCs/>
          <w:sz w:val="18"/>
          <w:szCs w:val="18"/>
        </w:rPr>
      </w:pPr>
      <w:r>
        <w:rPr>
          <w:rFonts w:ascii="Arial" w:hAnsi="Arial" w:cs="Arial"/>
          <w:b/>
          <w:bCs/>
          <w:i/>
          <w:iCs/>
          <w:sz w:val="18"/>
          <w:szCs w:val="18"/>
        </w:rPr>
        <w:t>Sobre Fundación Adecco</w:t>
      </w:r>
    </w:p>
    <w:p w:rsidR="00676AA6" w:rsidRPr="003829AA" w:rsidRDefault="00676AA6" w:rsidP="00676AA6">
      <w:pPr>
        <w:pStyle w:val="Default"/>
        <w:jc w:val="both"/>
        <w:rPr>
          <w:rFonts w:ascii="Arial" w:hAnsi="Arial" w:cs="Arial"/>
          <w:color w:val="auto"/>
          <w:sz w:val="20"/>
          <w:szCs w:val="20"/>
        </w:rPr>
      </w:pPr>
    </w:p>
    <w:p w:rsidR="00676AA6" w:rsidRDefault="00676AA6" w:rsidP="00676AA6">
      <w:pPr>
        <w:autoSpaceDE w:val="0"/>
        <w:autoSpaceDN w:val="0"/>
        <w:adjustRightInd w:val="0"/>
        <w:rPr>
          <w:rFonts w:ascii="Arial" w:hAnsi="Arial" w:cs="Arial"/>
          <w:i/>
          <w:iCs/>
          <w:color w:val="000000"/>
          <w:sz w:val="16"/>
          <w:szCs w:val="16"/>
        </w:rPr>
      </w:pPr>
      <w:r>
        <w:rPr>
          <w:rFonts w:ascii="Arial" w:hAnsi="Arial" w:cs="Arial"/>
          <w:i/>
          <w:iCs/>
          <w:color w:val="000000"/>
          <w:sz w:val="16"/>
          <w:szCs w:val="16"/>
        </w:rPr>
        <w:t>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rsidR="00676AA6" w:rsidRDefault="00676AA6" w:rsidP="00676AA6">
      <w:pPr>
        <w:autoSpaceDE w:val="0"/>
        <w:autoSpaceDN w:val="0"/>
        <w:adjustRightInd w:val="0"/>
        <w:spacing w:line="180" w:lineRule="auto"/>
        <w:rPr>
          <w:rFonts w:ascii="Arial" w:hAnsi="Arial" w:cs="Arial"/>
          <w:i/>
          <w:iCs/>
          <w:color w:val="000000"/>
          <w:sz w:val="16"/>
          <w:szCs w:val="16"/>
        </w:rPr>
      </w:pPr>
      <w:r>
        <w:rPr>
          <w:rFonts w:ascii="Arial" w:hAnsi="Arial" w:cs="Arial"/>
          <w:color w:val="000000"/>
          <w:sz w:val="16"/>
          <w:szCs w:val="16"/>
        </w:rPr>
        <w:t xml:space="preserve">- </w:t>
      </w:r>
      <w:r>
        <w:rPr>
          <w:rFonts w:ascii="Arial" w:hAnsi="Arial" w:cs="Arial"/>
          <w:i/>
          <w:iCs/>
          <w:color w:val="000000"/>
          <w:sz w:val="16"/>
          <w:szCs w:val="16"/>
        </w:rPr>
        <w:t>Personas con discapacidad</w:t>
      </w:r>
    </w:p>
    <w:p w:rsidR="00676AA6" w:rsidRDefault="00676AA6" w:rsidP="00676AA6">
      <w:pPr>
        <w:autoSpaceDE w:val="0"/>
        <w:autoSpaceDN w:val="0"/>
        <w:adjustRightInd w:val="0"/>
        <w:spacing w:line="180" w:lineRule="auto"/>
        <w:rPr>
          <w:rFonts w:ascii="Arial" w:hAnsi="Arial" w:cs="Arial"/>
          <w:i/>
          <w:iCs/>
          <w:color w:val="000000"/>
          <w:sz w:val="16"/>
          <w:szCs w:val="16"/>
        </w:rPr>
      </w:pPr>
      <w:r>
        <w:rPr>
          <w:rFonts w:ascii="Arial" w:hAnsi="Arial" w:cs="Arial"/>
          <w:color w:val="000000"/>
          <w:sz w:val="16"/>
          <w:szCs w:val="16"/>
        </w:rPr>
        <w:t xml:space="preserve">- </w:t>
      </w:r>
      <w:r>
        <w:rPr>
          <w:rFonts w:ascii="Arial" w:hAnsi="Arial" w:cs="Arial"/>
          <w:i/>
          <w:iCs/>
          <w:color w:val="000000"/>
          <w:sz w:val="16"/>
          <w:szCs w:val="16"/>
        </w:rPr>
        <w:t>Mayores de 45 años parados de larga duración</w:t>
      </w:r>
    </w:p>
    <w:p w:rsidR="00676AA6" w:rsidRDefault="00676AA6" w:rsidP="00676AA6">
      <w:pPr>
        <w:autoSpaceDE w:val="0"/>
        <w:autoSpaceDN w:val="0"/>
        <w:adjustRightInd w:val="0"/>
        <w:spacing w:line="180" w:lineRule="auto"/>
        <w:rPr>
          <w:rFonts w:ascii="Arial" w:hAnsi="Arial" w:cs="Arial"/>
          <w:i/>
          <w:iCs/>
          <w:color w:val="000000"/>
          <w:sz w:val="16"/>
          <w:szCs w:val="16"/>
        </w:rPr>
      </w:pPr>
      <w:r>
        <w:rPr>
          <w:rFonts w:ascii="Arial" w:hAnsi="Arial" w:cs="Arial"/>
          <w:color w:val="000000"/>
          <w:sz w:val="16"/>
          <w:szCs w:val="16"/>
        </w:rPr>
        <w:t xml:space="preserve">- </w:t>
      </w:r>
      <w:r>
        <w:rPr>
          <w:rFonts w:ascii="Arial" w:hAnsi="Arial" w:cs="Arial"/>
          <w:i/>
          <w:iCs/>
          <w:color w:val="000000"/>
          <w:sz w:val="16"/>
          <w:szCs w:val="16"/>
        </w:rPr>
        <w:t>Mujeres con responsabilidades familiares no compartidas o víctimas de violencia de género</w:t>
      </w:r>
    </w:p>
    <w:p w:rsidR="00676AA6" w:rsidRDefault="00676AA6" w:rsidP="00676AA6">
      <w:pPr>
        <w:spacing w:line="180" w:lineRule="auto"/>
        <w:rPr>
          <w:rFonts w:ascii="Arial" w:hAnsi="Arial" w:cs="Arial"/>
          <w:i/>
          <w:iCs/>
          <w:color w:val="000000"/>
          <w:sz w:val="16"/>
          <w:szCs w:val="16"/>
        </w:rPr>
      </w:pPr>
      <w:r>
        <w:rPr>
          <w:rFonts w:ascii="Arial" w:hAnsi="Arial" w:cs="Arial"/>
          <w:color w:val="000000"/>
          <w:sz w:val="16"/>
          <w:szCs w:val="16"/>
        </w:rPr>
        <w:t xml:space="preserve">- </w:t>
      </w:r>
      <w:r>
        <w:rPr>
          <w:rFonts w:ascii="Arial" w:hAnsi="Arial" w:cs="Arial"/>
          <w:i/>
          <w:iCs/>
          <w:color w:val="000000"/>
          <w:sz w:val="16"/>
          <w:szCs w:val="16"/>
        </w:rPr>
        <w:t>Otros grupos en riesgo de exclusión social</w:t>
      </w:r>
    </w:p>
    <w:p w:rsidR="00676AA6" w:rsidRDefault="00676AA6" w:rsidP="00676AA6">
      <w:pPr>
        <w:spacing w:line="180" w:lineRule="auto"/>
        <w:rPr>
          <w:rFonts w:ascii="Arial" w:hAnsi="Arial" w:cs="Arial"/>
          <w:i/>
          <w:iCs/>
          <w:color w:val="000000"/>
          <w:sz w:val="16"/>
          <w:szCs w:val="16"/>
        </w:rPr>
      </w:pPr>
      <w:r>
        <w:rPr>
          <w:rFonts w:ascii="Arial" w:hAnsi="Arial" w:cs="Arial"/>
          <w:i/>
          <w:iCs/>
          <w:color w:val="000000"/>
          <w:sz w:val="16"/>
          <w:szCs w:val="16"/>
        </w:rPr>
        <w:lastRenderedPageBreak/>
        <w:t>Sigue toda la actualidad de la Fundación Adecco en:</w:t>
      </w:r>
    </w:p>
    <w:p w:rsidR="00676AA6" w:rsidRDefault="00676AA6" w:rsidP="00676AA6">
      <w:pPr>
        <w:pBdr>
          <w:bottom w:val="single" w:sz="12" w:space="1" w:color="auto"/>
        </w:pBdr>
        <w:rPr>
          <w:rFonts w:ascii="Arial" w:hAnsi="Arial" w:cs="Arial"/>
          <w:i/>
          <w:iCs/>
          <w:color w:val="000000"/>
        </w:rPr>
      </w:pPr>
      <w:r>
        <w:rPr>
          <w:rFonts w:ascii="Arial" w:hAnsi="Arial" w:cs="Arial"/>
          <w:noProof/>
          <w:color w:val="000000"/>
          <w:lang w:eastAsia="es-ES"/>
        </w:rPr>
        <w:drawing>
          <wp:inline distT="0" distB="0" distL="0" distR="0">
            <wp:extent cx="361950" cy="1047750"/>
            <wp:effectExtent l="19050" t="0" r="0" b="0"/>
            <wp:docPr id="16" name="Imagen 3"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acebook"/>
                    <pic:cNvPicPr>
                      <a:picLocks noChangeAspect="1" noChangeArrowheads="1"/>
                    </pic:cNvPicPr>
                  </pic:nvPicPr>
                  <pic:blipFill>
                    <a:blip r:embed="rId17" cstate="print"/>
                    <a:srcRect/>
                    <a:stretch>
                      <a:fillRect/>
                    </a:stretch>
                  </pic:blipFill>
                  <pic:spPr bwMode="auto">
                    <a:xfrm>
                      <a:off x="0" y="0"/>
                      <a:ext cx="361950" cy="1047750"/>
                    </a:xfrm>
                    <a:prstGeom prst="rect">
                      <a:avLst/>
                    </a:prstGeom>
                    <a:noFill/>
                    <a:ln w="9525">
                      <a:noFill/>
                      <a:miter lim="800000"/>
                      <a:headEnd/>
                      <a:tailEnd/>
                    </a:ln>
                  </pic:spPr>
                </pic:pic>
              </a:graphicData>
            </a:graphic>
          </wp:inline>
        </w:drawing>
      </w:r>
      <w:r>
        <w:rPr>
          <w:rFonts w:ascii="Arial" w:hAnsi="Arial" w:cs="Arial"/>
          <w:noProof/>
          <w:color w:val="000000"/>
          <w:lang w:eastAsia="es-ES"/>
        </w:rPr>
        <w:drawing>
          <wp:inline distT="0" distB="0" distL="0" distR="0">
            <wp:extent cx="352425" cy="1047750"/>
            <wp:effectExtent l="19050" t="0" r="9525" b="0"/>
            <wp:docPr id="17" name="Imagen 2" descr="twitt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witter"/>
                    <pic:cNvPicPr>
                      <a:picLocks noChangeAspect="1" noChangeArrowheads="1"/>
                    </pic:cNvPicPr>
                  </pic:nvPicPr>
                  <pic:blipFill>
                    <a:blip r:embed="rId19" cstate="print"/>
                    <a:srcRect/>
                    <a:stretch>
                      <a:fillRect/>
                    </a:stretch>
                  </pic:blipFill>
                  <pic:spPr bwMode="auto">
                    <a:xfrm>
                      <a:off x="0" y="0"/>
                      <a:ext cx="352425" cy="1047750"/>
                    </a:xfrm>
                    <a:prstGeom prst="rect">
                      <a:avLst/>
                    </a:prstGeom>
                    <a:noFill/>
                    <a:ln w="9525">
                      <a:noFill/>
                      <a:miter lim="800000"/>
                      <a:headEnd/>
                      <a:tailEnd/>
                    </a:ln>
                  </pic:spPr>
                </pic:pic>
              </a:graphicData>
            </a:graphic>
          </wp:inline>
        </w:drawing>
      </w:r>
      <w:r>
        <w:rPr>
          <w:rFonts w:ascii="Arial" w:hAnsi="Arial" w:cs="Arial"/>
          <w:noProof/>
          <w:color w:val="000000"/>
          <w:lang w:eastAsia="es-ES"/>
        </w:rPr>
        <w:drawing>
          <wp:inline distT="0" distB="0" distL="0" distR="0">
            <wp:extent cx="342900" cy="1047750"/>
            <wp:effectExtent l="19050" t="0" r="0" b="0"/>
            <wp:docPr id="18" name="Imagen 1" descr="youtub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youtube"/>
                    <pic:cNvPicPr>
                      <a:picLocks noChangeAspect="1" noChangeArrowheads="1"/>
                    </pic:cNvPicPr>
                  </pic:nvPicPr>
                  <pic:blipFill>
                    <a:blip r:embed="rId21" cstate="print"/>
                    <a:srcRect/>
                    <a:stretch>
                      <a:fillRect/>
                    </a:stretch>
                  </pic:blipFill>
                  <pic:spPr bwMode="auto">
                    <a:xfrm>
                      <a:off x="0" y="0"/>
                      <a:ext cx="342900" cy="1047750"/>
                    </a:xfrm>
                    <a:prstGeom prst="rect">
                      <a:avLst/>
                    </a:prstGeom>
                    <a:noFill/>
                    <a:ln w="9525">
                      <a:noFill/>
                      <a:miter lim="800000"/>
                      <a:headEnd/>
                      <a:tailEnd/>
                    </a:ln>
                  </pic:spPr>
                </pic:pic>
              </a:graphicData>
            </a:graphic>
          </wp:inline>
        </w:drawing>
      </w:r>
    </w:p>
    <w:p w:rsidR="00676AA6" w:rsidRDefault="00676AA6" w:rsidP="00676AA6">
      <w:pPr>
        <w:autoSpaceDE w:val="0"/>
        <w:autoSpaceDN w:val="0"/>
        <w:adjustRightInd w:val="0"/>
        <w:rPr>
          <w:rFonts w:ascii="Arial" w:hAnsi="Arial" w:cs="Arial"/>
          <w:b/>
          <w:bCs/>
          <w:i/>
          <w:iCs/>
          <w:color w:val="000000"/>
          <w:sz w:val="18"/>
          <w:szCs w:val="18"/>
        </w:rPr>
      </w:pPr>
      <w:r>
        <w:rPr>
          <w:rFonts w:ascii="Arial" w:hAnsi="Arial" w:cs="Arial"/>
          <w:b/>
          <w:bCs/>
          <w:i/>
          <w:iCs/>
          <w:color w:val="000000"/>
          <w:sz w:val="18"/>
          <w:szCs w:val="18"/>
        </w:rPr>
        <w:t xml:space="preserve">Más información:   </w:t>
      </w:r>
    </w:p>
    <w:p w:rsidR="00676AA6" w:rsidRDefault="00676AA6" w:rsidP="00676AA6">
      <w:pPr>
        <w:autoSpaceDE w:val="0"/>
        <w:autoSpaceDN w:val="0"/>
        <w:adjustRightInd w:val="0"/>
        <w:rPr>
          <w:rFonts w:ascii="Arial" w:hAnsi="Arial" w:cs="Arial"/>
          <w:i/>
          <w:iCs/>
          <w:color w:val="000000"/>
          <w:sz w:val="18"/>
          <w:szCs w:val="18"/>
        </w:rPr>
      </w:pPr>
      <w:r>
        <w:rPr>
          <w:rFonts w:ascii="Arial" w:hAnsi="Arial" w:cs="Arial"/>
          <w:i/>
          <w:iCs/>
          <w:color w:val="000000"/>
          <w:sz w:val="18"/>
          <w:szCs w:val="18"/>
        </w:rPr>
        <w:t>Comunicación Fundación Adecco</w:t>
      </w:r>
    </w:p>
    <w:p w:rsidR="00676AA6" w:rsidRDefault="00676AA6" w:rsidP="00676AA6">
      <w:pPr>
        <w:spacing w:after="0"/>
        <w:rPr>
          <w:rFonts w:ascii="Arial" w:hAnsi="Arial" w:cs="Arial"/>
          <w:i/>
          <w:iCs/>
          <w:color w:val="000000"/>
          <w:sz w:val="16"/>
          <w:szCs w:val="16"/>
        </w:rPr>
      </w:pPr>
      <w:r>
        <w:rPr>
          <w:rFonts w:ascii="Arial" w:hAnsi="Arial" w:cs="Arial"/>
          <w:i/>
          <w:iCs/>
          <w:color w:val="000000"/>
          <w:sz w:val="16"/>
          <w:szCs w:val="16"/>
        </w:rPr>
        <w:t>Irene Gil</w:t>
      </w:r>
    </w:p>
    <w:p w:rsidR="00676AA6" w:rsidRPr="00183C3F" w:rsidRDefault="00A514CE" w:rsidP="00676AA6">
      <w:pPr>
        <w:spacing w:after="0"/>
        <w:rPr>
          <w:rFonts w:ascii="Arial" w:hAnsi="Arial" w:cs="Arial"/>
          <w:i/>
          <w:iCs/>
          <w:color w:val="000000"/>
          <w:sz w:val="16"/>
          <w:szCs w:val="16"/>
        </w:rPr>
      </w:pPr>
      <w:hyperlink r:id="rId22" w:history="1">
        <w:r w:rsidR="00676AA6" w:rsidRPr="00270D6B">
          <w:rPr>
            <w:rStyle w:val="Hipervnculo"/>
            <w:rFonts w:ascii="Arial" w:hAnsi="Arial" w:cs="Arial"/>
            <w:i/>
            <w:iCs/>
            <w:sz w:val="16"/>
            <w:szCs w:val="16"/>
          </w:rPr>
          <w:t>irene.gil@adecco.com</w:t>
        </w:r>
      </w:hyperlink>
    </w:p>
    <w:p w:rsidR="00676AA6" w:rsidRPr="00183C3F" w:rsidRDefault="00676AA6" w:rsidP="00676AA6">
      <w:pPr>
        <w:spacing w:after="0"/>
        <w:rPr>
          <w:rFonts w:ascii="Arial" w:hAnsi="Arial" w:cs="Arial"/>
          <w:i/>
          <w:iCs/>
          <w:color w:val="000000"/>
          <w:sz w:val="16"/>
          <w:szCs w:val="16"/>
        </w:rPr>
      </w:pPr>
      <w:r w:rsidRPr="00040524">
        <w:rPr>
          <w:rFonts w:ascii="Arial" w:hAnsi="Arial" w:cs="Arial"/>
          <w:i/>
          <w:iCs/>
          <w:color w:val="000000"/>
          <w:sz w:val="16"/>
          <w:szCs w:val="16"/>
        </w:rPr>
        <w:t>Telf. 91 700 49 20</w:t>
      </w:r>
    </w:p>
    <w:p w:rsidR="00676AA6" w:rsidRPr="00372F15" w:rsidRDefault="00676AA6" w:rsidP="008B17A7">
      <w:pPr>
        <w:jc w:val="both"/>
        <w:rPr>
          <w:rFonts w:ascii="Arial" w:hAnsi="Arial" w:cs="Arial"/>
          <w:b/>
          <w:color w:val="808080" w:themeColor="background1" w:themeShade="80"/>
          <w:sz w:val="20"/>
          <w:szCs w:val="20"/>
        </w:rPr>
      </w:pPr>
    </w:p>
    <w:sectPr w:rsidR="00676AA6" w:rsidRPr="00372F15" w:rsidSect="00787A5C">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4CE" w:rsidRDefault="00A514CE" w:rsidP="006F6090">
      <w:pPr>
        <w:spacing w:after="0" w:line="240" w:lineRule="auto"/>
      </w:pPr>
      <w:r>
        <w:separator/>
      </w:r>
    </w:p>
  </w:endnote>
  <w:endnote w:type="continuationSeparator" w:id="0">
    <w:p w:rsidR="00A514CE" w:rsidRDefault="00A514CE" w:rsidP="006F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ouschka Head Light">
    <w:panose1 w:val="020F0503020000020003"/>
    <w:charset w:val="00"/>
    <w:family w:val="swiss"/>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318249"/>
      <w:docPartObj>
        <w:docPartGallery w:val="Page Numbers (Bottom of Page)"/>
        <w:docPartUnique/>
      </w:docPartObj>
    </w:sdtPr>
    <w:sdtEndPr/>
    <w:sdtContent>
      <w:p w:rsidR="0037081D" w:rsidRDefault="0037081D">
        <w:pPr>
          <w:pStyle w:val="Piedepgina"/>
          <w:jc w:val="right"/>
        </w:pPr>
        <w:r>
          <w:fldChar w:fldCharType="begin"/>
        </w:r>
        <w:r>
          <w:instrText xml:space="preserve"> PAGE   \* MERGEFORMAT </w:instrText>
        </w:r>
        <w:r>
          <w:fldChar w:fldCharType="separate"/>
        </w:r>
        <w:r w:rsidR="004F7E67">
          <w:rPr>
            <w:noProof/>
          </w:rPr>
          <w:t>7</w:t>
        </w:r>
        <w:r>
          <w:rPr>
            <w:noProof/>
          </w:rPr>
          <w:fldChar w:fldCharType="end"/>
        </w:r>
      </w:p>
    </w:sdtContent>
  </w:sdt>
  <w:p w:rsidR="0037081D" w:rsidRDefault="003708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4CE" w:rsidRDefault="00A514CE" w:rsidP="006F6090">
      <w:pPr>
        <w:spacing w:after="0" w:line="240" w:lineRule="auto"/>
      </w:pPr>
      <w:r>
        <w:separator/>
      </w:r>
    </w:p>
  </w:footnote>
  <w:footnote w:type="continuationSeparator" w:id="0">
    <w:p w:rsidR="00A514CE" w:rsidRDefault="00A514CE" w:rsidP="006F6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D2AD1"/>
    <w:multiLevelType w:val="hybridMultilevel"/>
    <w:tmpl w:val="EE0CF9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517075"/>
    <w:multiLevelType w:val="hybridMultilevel"/>
    <w:tmpl w:val="20BA0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F761623"/>
    <w:multiLevelType w:val="hybridMultilevel"/>
    <w:tmpl w:val="CA828E7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3C91351"/>
    <w:multiLevelType w:val="hybridMultilevel"/>
    <w:tmpl w:val="B57E1CEA"/>
    <w:lvl w:ilvl="0" w:tplc="A9909ADE">
      <w:start w:val="1"/>
      <w:numFmt w:val="bullet"/>
      <w:lvlText w:val="-"/>
      <w:lvlJc w:val="left"/>
      <w:pPr>
        <w:ind w:left="720" w:hanging="360"/>
      </w:pPr>
      <w:rPr>
        <w:rFonts w:ascii="Arial" w:eastAsiaTheme="minorHAns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48D6ED3"/>
    <w:multiLevelType w:val="hybridMultilevel"/>
    <w:tmpl w:val="97AC0FB8"/>
    <w:lvl w:ilvl="0" w:tplc="766C74E4">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396ED1"/>
    <w:multiLevelType w:val="hybridMultilevel"/>
    <w:tmpl w:val="3CACF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B21C1E"/>
    <w:multiLevelType w:val="hybridMultilevel"/>
    <w:tmpl w:val="908023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74B472B"/>
    <w:multiLevelType w:val="hybridMultilevel"/>
    <w:tmpl w:val="B41040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0B"/>
    <w:rsid w:val="00000D93"/>
    <w:rsid w:val="00000E50"/>
    <w:rsid w:val="00001D23"/>
    <w:rsid w:val="00001F69"/>
    <w:rsid w:val="000020F9"/>
    <w:rsid w:val="00002D4A"/>
    <w:rsid w:val="00005EEB"/>
    <w:rsid w:val="00006B91"/>
    <w:rsid w:val="00006FF4"/>
    <w:rsid w:val="00010EEB"/>
    <w:rsid w:val="00011ED7"/>
    <w:rsid w:val="0001288B"/>
    <w:rsid w:val="00013DA8"/>
    <w:rsid w:val="00013EFE"/>
    <w:rsid w:val="000150FA"/>
    <w:rsid w:val="000205D7"/>
    <w:rsid w:val="000206E6"/>
    <w:rsid w:val="00020791"/>
    <w:rsid w:val="00021158"/>
    <w:rsid w:val="00021643"/>
    <w:rsid w:val="0002164F"/>
    <w:rsid w:val="000228B6"/>
    <w:rsid w:val="000234F5"/>
    <w:rsid w:val="00027793"/>
    <w:rsid w:val="0002790D"/>
    <w:rsid w:val="000325B1"/>
    <w:rsid w:val="00034210"/>
    <w:rsid w:val="000366D6"/>
    <w:rsid w:val="0003683C"/>
    <w:rsid w:val="00036AB4"/>
    <w:rsid w:val="000370D9"/>
    <w:rsid w:val="00042865"/>
    <w:rsid w:val="000428C3"/>
    <w:rsid w:val="0004492E"/>
    <w:rsid w:val="0004523E"/>
    <w:rsid w:val="00045987"/>
    <w:rsid w:val="00045BEC"/>
    <w:rsid w:val="000461CC"/>
    <w:rsid w:val="00046232"/>
    <w:rsid w:val="0004698B"/>
    <w:rsid w:val="00050168"/>
    <w:rsid w:val="0005051B"/>
    <w:rsid w:val="000506D1"/>
    <w:rsid w:val="000512FC"/>
    <w:rsid w:val="0005181E"/>
    <w:rsid w:val="00053539"/>
    <w:rsid w:val="000542D9"/>
    <w:rsid w:val="00055207"/>
    <w:rsid w:val="00062CCA"/>
    <w:rsid w:val="0006501C"/>
    <w:rsid w:val="00066BA4"/>
    <w:rsid w:val="00066DC0"/>
    <w:rsid w:val="000673DA"/>
    <w:rsid w:val="0007082D"/>
    <w:rsid w:val="0007097A"/>
    <w:rsid w:val="00072CB3"/>
    <w:rsid w:val="00073D7E"/>
    <w:rsid w:val="000763C8"/>
    <w:rsid w:val="000803FF"/>
    <w:rsid w:val="0008065E"/>
    <w:rsid w:val="00082E47"/>
    <w:rsid w:val="00082FD3"/>
    <w:rsid w:val="0008396F"/>
    <w:rsid w:val="00083EF0"/>
    <w:rsid w:val="0008538A"/>
    <w:rsid w:val="00085D29"/>
    <w:rsid w:val="00086244"/>
    <w:rsid w:val="00090653"/>
    <w:rsid w:val="00091160"/>
    <w:rsid w:val="00092698"/>
    <w:rsid w:val="00094C81"/>
    <w:rsid w:val="00094E0E"/>
    <w:rsid w:val="000A14DE"/>
    <w:rsid w:val="000A1BC6"/>
    <w:rsid w:val="000A2790"/>
    <w:rsid w:val="000A2ADF"/>
    <w:rsid w:val="000A42A4"/>
    <w:rsid w:val="000A4C51"/>
    <w:rsid w:val="000A5CE8"/>
    <w:rsid w:val="000A679C"/>
    <w:rsid w:val="000B0803"/>
    <w:rsid w:val="000B2212"/>
    <w:rsid w:val="000B2296"/>
    <w:rsid w:val="000B2A36"/>
    <w:rsid w:val="000B36A8"/>
    <w:rsid w:val="000B373E"/>
    <w:rsid w:val="000B5F83"/>
    <w:rsid w:val="000B7576"/>
    <w:rsid w:val="000C228C"/>
    <w:rsid w:val="000C36AC"/>
    <w:rsid w:val="000C40E4"/>
    <w:rsid w:val="000C50FD"/>
    <w:rsid w:val="000C54D2"/>
    <w:rsid w:val="000C7512"/>
    <w:rsid w:val="000D27F7"/>
    <w:rsid w:val="000D3782"/>
    <w:rsid w:val="000D64B4"/>
    <w:rsid w:val="000D6DFF"/>
    <w:rsid w:val="000D7BD5"/>
    <w:rsid w:val="000E0A6D"/>
    <w:rsid w:val="000E0A86"/>
    <w:rsid w:val="000E0FE8"/>
    <w:rsid w:val="000E2805"/>
    <w:rsid w:val="000E4246"/>
    <w:rsid w:val="000E44C2"/>
    <w:rsid w:val="000E4E8A"/>
    <w:rsid w:val="000E6046"/>
    <w:rsid w:val="000E68E2"/>
    <w:rsid w:val="000E6AA3"/>
    <w:rsid w:val="000E6E0F"/>
    <w:rsid w:val="000F2748"/>
    <w:rsid w:val="000F46AC"/>
    <w:rsid w:val="000F65EB"/>
    <w:rsid w:val="000F7602"/>
    <w:rsid w:val="00100308"/>
    <w:rsid w:val="001009D2"/>
    <w:rsid w:val="001072F4"/>
    <w:rsid w:val="0010763A"/>
    <w:rsid w:val="00110536"/>
    <w:rsid w:val="0011208C"/>
    <w:rsid w:val="00112F59"/>
    <w:rsid w:val="001130A9"/>
    <w:rsid w:val="0011325D"/>
    <w:rsid w:val="001132A7"/>
    <w:rsid w:val="00113663"/>
    <w:rsid w:val="001136D8"/>
    <w:rsid w:val="00116B1A"/>
    <w:rsid w:val="001175A9"/>
    <w:rsid w:val="00121D60"/>
    <w:rsid w:val="00122964"/>
    <w:rsid w:val="00123771"/>
    <w:rsid w:val="001244B2"/>
    <w:rsid w:val="00133CA0"/>
    <w:rsid w:val="0013672C"/>
    <w:rsid w:val="0013693B"/>
    <w:rsid w:val="00137381"/>
    <w:rsid w:val="00137BD7"/>
    <w:rsid w:val="00137CC3"/>
    <w:rsid w:val="00141348"/>
    <w:rsid w:val="001437D0"/>
    <w:rsid w:val="00143EA8"/>
    <w:rsid w:val="001459A1"/>
    <w:rsid w:val="001473B1"/>
    <w:rsid w:val="00147A3B"/>
    <w:rsid w:val="00151306"/>
    <w:rsid w:val="00151540"/>
    <w:rsid w:val="001518D8"/>
    <w:rsid w:val="00152DAC"/>
    <w:rsid w:val="0015402E"/>
    <w:rsid w:val="00155018"/>
    <w:rsid w:val="0015794E"/>
    <w:rsid w:val="001604A5"/>
    <w:rsid w:val="00160E8F"/>
    <w:rsid w:val="00161076"/>
    <w:rsid w:val="0016193D"/>
    <w:rsid w:val="00162709"/>
    <w:rsid w:val="00163C91"/>
    <w:rsid w:val="00163DFA"/>
    <w:rsid w:val="00164D33"/>
    <w:rsid w:val="00165E72"/>
    <w:rsid w:val="001748A5"/>
    <w:rsid w:val="00175458"/>
    <w:rsid w:val="00177684"/>
    <w:rsid w:val="00180BEA"/>
    <w:rsid w:val="00180F04"/>
    <w:rsid w:val="0018165C"/>
    <w:rsid w:val="00181D8B"/>
    <w:rsid w:val="001826D2"/>
    <w:rsid w:val="00182743"/>
    <w:rsid w:val="0018335C"/>
    <w:rsid w:val="00183B66"/>
    <w:rsid w:val="00183DEC"/>
    <w:rsid w:val="0018481D"/>
    <w:rsid w:val="00185EDC"/>
    <w:rsid w:val="00186825"/>
    <w:rsid w:val="00186C88"/>
    <w:rsid w:val="0019071D"/>
    <w:rsid w:val="00191B42"/>
    <w:rsid w:val="00191F23"/>
    <w:rsid w:val="00192BAA"/>
    <w:rsid w:val="001936BE"/>
    <w:rsid w:val="00193CE8"/>
    <w:rsid w:val="0019465D"/>
    <w:rsid w:val="00194A6C"/>
    <w:rsid w:val="00196969"/>
    <w:rsid w:val="0019781E"/>
    <w:rsid w:val="00197849"/>
    <w:rsid w:val="00197C44"/>
    <w:rsid w:val="00197F19"/>
    <w:rsid w:val="001A0433"/>
    <w:rsid w:val="001A54BF"/>
    <w:rsid w:val="001A7CD4"/>
    <w:rsid w:val="001B30BF"/>
    <w:rsid w:val="001B3153"/>
    <w:rsid w:val="001B5ED0"/>
    <w:rsid w:val="001C01B9"/>
    <w:rsid w:val="001C14BD"/>
    <w:rsid w:val="001C1E83"/>
    <w:rsid w:val="001C240A"/>
    <w:rsid w:val="001C3DE2"/>
    <w:rsid w:val="001C4713"/>
    <w:rsid w:val="001C6611"/>
    <w:rsid w:val="001C67CA"/>
    <w:rsid w:val="001D0ECF"/>
    <w:rsid w:val="001D47AD"/>
    <w:rsid w:val="001D5322"/>
    <w:rsid w:val="001D54F0"/>
    <w:rsid w:val="001D5A97"/>
    <w:rsid w:val="001D6E54"/>
    <w:rsid w:val="001D7AD7"/>
    <w:rsid w:val="001D7B63"/>
    <w:rsid w:val="001E1026"/>
    <w:rsid w:val="001E24F5"/>
    <w:rsid w:val="001E52E3"/>
    <w:rsid w:val="001E5CE2"/>
    <w:rsid w:val="001E66BD"/>
    <w:rsid w:val="001E77D8"/>
    <w:rsid w:val="001E79E5"/>
    <w:rsid w:val="001F0631"/>
    <w:rsid w:val="001F0EAE"/>
    <w:rsid w:val="001F2506"/>
    <w:rsid w:val="001F2A2D"/>
    <w:rsid w:val="001F384B"/>
    <w:rsid w:val="001F433B"/>
    <w:rsid w:val="001F4594"/>
    <w:rsid w:val="001F6CE4"/>
    <w:rsid w:val="001F6F9F"/>
    <w:rsid w:val="001F7645"/>
    <w:rsid w:val="00200137"/>
    <w:rsid w:val="00200D17"/>
    <w:rsid w:val="00201F0F"/>
    <w:rsid w:val="002024A1"/>
    <w:rsid w:val="00204445"/>
    <w:rsid w:val="00204484"/>
    <w:rsid w:val="00204CEB"/>
    <w:rsid w:val="00205351"/>
    <w:rsid w:val="00205CA8"/>
    <w:rsid w:val="0020696E"/>
    <w:rsid w:val="0020752A"/>
    <w:rsid w:val="0020779E"/>
    <w:rsid w:val="002111EA"/>
    <w:rsid w:val="0021237C"/>
    <w:rsid w:val="00213303"/>
    <w:rsid w:val="00213E72"/>
    <w:rsid w:val="00215647"/>
    <w:rsid w:val="00215B99"/>
    <w:rsid w:val="0022377A"/>
    <w:rsid w:val="0022459A"/>
    <w:rsid w:val="002250DB"/>
    <w:rsid w:val="00226999"/>
    <w:rsid w:val="002275FC"/>
    <w:rsid w:val="00231A35"/>
    <w:rsid w:val="00232974"/>
    <w:rsid w:val="00232DEF"/>
    <w:rsid w:val="00233364"/>
    <w:rsid w:val="00235013"/>
    <w:rsid w:val="00235D0B"/>
    <w:rsid w:val="0023697B"/>
    <w:rsid w:val="00236E48"/>
    <w:rsid w:val="00243930"/>
    <w:rsid w:val="0024526A"/>
    <w:rsid w:val="00246D84"/>
    <w:rsid w:val="00247CA5"/>
    <w:rsid w:val="0025115E"/>
    <w:rsid w:val="00251244"/>
    <w:rsid w:val="00252DD0"/>
    <w:rsid w:val="00252EB5"/>
    <w:rsid w:val="00253E7E"/>
    <w:rsid w:val="00254C77"/>
    <w:rsid w:val="002554C5"/>
    <w:rsid w:val="00255D98"/>
    <w:rsid w:val="002560C3"/>
    <w:rsid w:val="00257448"/>
    <w:rsid w:val="00261328"/>
    <w:rsid w:val="00262442"/>
    <w:rsid w:val="0026261B"/>
    <w:rsid w:val="00263589"/>
    <w:rsid w:val="002644F8"/>
    <w:rsid w:val="00265D2C"/>
    <w:rsid w:val="00270E53"/>
    <w:rsid w:val="00270E85"/>
    <w:rsid w:val="00272A16"/>
    <w:rsid w:val="00275277"/>
    <w:rsid w:val="00280B4E"/>
    <w:rsid w:val="00281369"/>
    <w:rsid w:val="00281A41"/>
    <w:rsid w:val="00281CAB"/>
    <w:rsid w:val="00282729"/>
    <w:rsid w:val="00282DB5"/>
    <w:rsid w:val="00283135"/>
    <w:rsid w:val="00283AC3"/>
    <w:rsid w:val="002851E8"/>
    <w:rsid w:val="00286BAE"/>
    <w:rsid w:val="0028746F"/>
    <w:rsid w:val="002905B1"/>
    <w:rsid w:val="00290D1E"/>
    <w:rsid w:val="00292C97"/>
    <w:rsid w:val="002931D9"/>
    <w:rsid w:val="002953E9"/>
    <w:rsid w:val="00295C69"/>
    <w:rsid w:val="00295E3E"/>
    <w:rsid w:val="002961D5"/>
    <w:rsid w:val="00297765"/>
    <w:rsid w:val="002A14E3"/>
    <w:rsid w:val="002A1532"/>
    <w:rsid w:val="002A1BA7"/>
    <w:rsid w:val="002A1CA5"/>
    <w:rsid w:val="002A1DB2"/>
    <w:rsid w:val="002A245F"/>
    <w:rsid w:val="002A24D3"/>
    <w:rsid w:val="002A2FC2"/>
    <w:rsid w:val="002A32BC"/>
    <w:rsid w:val="002A35FA"/>
    <w:rsid w:val="002A5A7F"/>
    <w:rsid w:val="002A5D95"/>
    <w:rsid w:val="002A7620"/>
    <w:rsid w:val="002A7BE2"/>
    <w:rsid w:val="002A7CB5"/>
    <w:rsid w:val="002B0791"/>
    <w:rsid w:val="002B2186"/>
    <w:rsid w:val="002B4662"/>
    <w:rsid w:val="002B5513"/>
    <w:rsid w:val="002B6834"/>
    <w:rsid w:val="002B6AF9"/>
    <w:rsid w:val="002C0493"/>
    <w:rsid w:val="002C21F4"/>
    <w:rsid w:val="002C22F7"/>
    <w:rsid w:val="002C6E58"/>
    <w:rsid w:val="002C737A"/>
    <w:rsid w:val="002D1166"/>
    <w:rsid w:val="002D359C"/>
    <w:rsid w:val="002D3D6F"/>
    <w:rsid w:val="002D40B3"/>
    <w:rsid w:val="002D5046"/>
    <w:rsid w:val="002D54C0"/>
    <w:rsid w:val="002D5CF5"/>
    <w:rsid w:val="002D6634"/>
    <w:rsid w:val="002D681E"/>
    <w:rsid w:val="002D689A"/>
    <w:rsid w:val="002D7E29"/>
    <w:rsid w:val="002E08B7"/>
    <w:rsid w:val="002E16F6"/>
    <w:rsid w:val="002E1A83"/>
    <w:rsid w:val="002E2420"/>
    <w:rsid w:val="002E3EB2"/>
    <w:rsid w:val="002E6ADB"/>
    <w:rsid w:val="002E6CFC"/>
    <w:rsid w:val="002E6E6D"/>
    <w:rsid w:val="002E6FBF"/>
    <w:rsid w:val="002E7255"/>
    <w:rsid w:val="002F059B"/>
    <w:rsid w:val="002F4CE9"/>
    <w:rsid w:val="002F59AF"/>
    <w:rsid w:val="002F72FF"/>
    <w:rsid w:val="002F7C27"/>
    <w:rsid w:val="00300927"/>
    <w:rsid w:val="003019F1"/>
    <w:rsid w:val="00303864"/>
    <w:rsid w:val="00304896"/>
    <w:rsid w:val="00305018"/>
    <w:rsid w:val="003066D5"/>
    <w:rsid w:val="00313515"/>
    <w:rsid w:val="00314503"/>
    <w:rsid w:val="00315544"/>
    <w:rsid w:val="003159D2"/>
    <w:rsid w:val="00320D00"/>
    <w:rsid w:val="00321484"/>
    <w:rsid w:val="00321FAA"/>
    <w:rsid w:val="003226F1"/>
    <w:rsid w:val="00323AB7"/>
    <w:rsid w:val="0032442E"/>
    <w:rsid w:val="003249C4"/>
    <w:rsid w:val="00326689"/>
    <w:rsid w:val="003272AD"/>
    <w:rsid w:val="00327D6D"/>
    <w:rsid w:val="003300E4"/>
    <w:rsid w:val="003311EA"/>
    <w:rsid w:val="0033145E"/>
    <w:rsid w:val="003318AF"/>
    <w:rsid w:val="00331DC1"/>
    <w:rsid w:val="00332A81"/>
    <w:rsid w:val="00333054"/>
    <w:rsid w:val="003351D6"/>
    <w:rsid w:val="00335540"/>
    <w:rsid w:val="00336611"/>
    <w:rsid w:val="00337936"/>
    <w:rsid w:val="00340BB8"/>
    <w:rsid w:val="00340FA2"/>
    <w:rsid w:val="0034146B"/>
    <w:rsid w:val="0034313A"/>
    <w:rsid w:val="003439EB"/>
    <w:rsid w:val="003451CF"/>
    <w:rsid w:val="003453D7"/>
    <w:rsid w:val="00345A99"/>
    <w:rsid w:val="003463AE"/>
    <w:rsid w:val="003476E4"/>
    <w:rsid w:val="0035031D"/>
    <w:rsid w:val="00350C7A"/>
    <w:rsid w:val="003510E6"/>
    <w:rsid w:val="003514EA"/>
    <w:rsid w:val="00351D86"/>
    <w:rsid w:val="00352512"/>
    <w:rsid w:val="003536F3"/>
    <w:rsid w:val="00354D8A"/>
    <w:rsid w:val="00354ED7"/>
    <w:rsid w:val="0035571D"/>
    <w:rsid w:val="00355B7C"/>
    <w:rsid w:val="00356FFE"/>
    <w:rsid w:val="003570D8"/>
    <w:rsid w:val="00357CEE"/>
    <w:rsid w:val="00360CE6"/>
    <w:rsid w:val="0036180D"/>
    <w:rsid w:val="003636C4"/>
    <w:rsid w:val="0037081D"/>
    <w:rsid w:val="00371803"/>
    <w:rsid w:val="00371A61"/>
    <w:rsid w:val="003729F4"/>
    <w:rsid w:val="00372F15"/>
    <w:rsid w:val="00373BF7"/>
    <w:rsid w:val="00373DF8"/>
    <w:rsid w:val="00373E0C"/>
    <w:rsid w:val="003750B0"/>
    <w:rsid w:val="0037694B"/>
    <w:rsid w:val="00376981"/>
    <w:rsid w:val="00376B88"/>
    <w:rsid w:val="00377123"/>
    <w:rsid w:val="0037798F"/>
    <w:rsid w:val="00380272"/>
    <w:rsid w:val="00381B38"/>
    <w:rsid w:val="003839ED"/>
    <w:rsid w:val="003871E1"/>
    <w:rsid w:val="00387AC5"/>
    <w:rsid w:val="003907D0"/>
    <w:rsid w:val="0039156C"/>
    <w:rsid w:val="00391F53"/>
    <w:rsid w:val="003926C6"/>
    <w:rsid w:val="00393D8D"/>
    <w:rsid w:val="003940E6"/>
    <w:rsid w:val="00394DF0"/>
    <w:rsid w:val="003952C6"/>
    <w:rsid w:val="00395955"/>
    <w:rsid w:val="00395BD6"/>
    <w:rsid w:val="003961AB"/>
    <w:rsid w:val="00396F20"/>
    <w:rsid w:val="003A0DED"/>
    <w:rsid w:val="003A1C8F"/>
    <w:rsid w:val="003A2A32"/>
    <w:rsid w:val="003A4B8C"/>
    <w:rsid w:val="003A5922"/>
    <w:rsid w:val="003A5AE7"/>
    <w:rsid w:val="003A5BB3"/>
    <w:rsid w:val="003A72DE"/>
    <w:rsid w:val="003B0099"/>
    <w:rsid w:val="003B049C"/>
    <w:rsid w:val="003B1B2B"/>
    <w:rsid w:val="003B1C4E"/>
    <w:rsid w:val="003B1CBC"/>
    <w:rsid w:val="003B32A9"/>
    <w:rsid w:val="003B3E90"/>
    <w:rsid w:val="003B5C89"/>
    <w:rsid w:val="003B6619"/>
    <w:rsid w:val="003C35D5"/>
    <w:rsid w:val="003C402D"/>
    <w:rsid w:val="003C4327"/>
    <w:rsid w:val="003C63D0"/>
    <w:rsid w:val="003C649E"/>
    <w:rsid w:val="003D0C54"/>
    <w:rsid w:val="003D2551"/>
    <w:rsid w:val="003D2DB3"/>
    <w:rsid w:val="003D425E"/>
    <w:rsid w:val="003D6431"/>
    <w:rsid w:val="003E0C16"/>
    <w:rsid w:val="003E13FB"/>
    <w:rsid w:val="003E1B98"/>
    <w:rsid w:val="003E1E23"/>
    <w:rsid w:val="003E42CA"/>
    <w:rsid w:val="003E4948"/>
    <w:rsid w:val="003E533C"/>
    <w:rsid w:val="003E6D78"/>
    <w:rsid w:val="003E78C7"/>
    <w:rsid w:val="003F2B62"/>
    <w:rsid w:val="003F312C"/>
    <w:rsid w:val="003F7E53"/>
    <w:rsid w:val="00400874"/>
    <w:rsid w:val="00400DDC"/>
    <w:rsid w:val="00400FC3"/>
    <w:rsid w:val="00402317"/>
    <w:rsid w:val="00403291"/>
    <w:rsid w:val="00404C0E"/>
    <w:rsid w:val="00404E54"/>
    <w:rsid w:val="0040528E"/>
    <w:rsid w:val="00405A93"/>
    <w:rsid w:val="004062D4"/>
    <w:rsid w:val="00406488"/>
    <w:rsid w:val="0041418F"/>
    <w:rsid w:val="00414484"/>
    <w:rsid w:val="00414790"/>
    <w:rsid w:val="0041537A"/>
    <w:rsid w:val="004154D7"/>
    <w:rsid w:val="00415565"/>
    <w:rsid w:val="00415991"/>
    <w:rsid w:val="0041747E"/>
    <w:rsid w:val="00420AD5"/>
    <w:rsid w:val="0042127B"/>
    <w:rsid w:val="004215DB"/>
    <w:rsid w:val="0042250C"/>
    <w:rsid w:val="004230F7"/>
    <w:rsid w:val="004236F6"/>
    <w:rsid w:val="004246A4"/>
    <w:rsid w:val="004249F2"/>
    <w:rsid w:val="004305FE"/>
    <w:rsid w:val="00430A31"/>
    <w:rsid w:val="00430F40"/>
    <w:rsid w:val="00431A9C"/>
    <w:rsid w:val="00431F72"/>
    <w:rsid w:val="00434C08"/>
    <w:rsid w:val="00434DB0"/>
    <w:rsid w:val="00436317"/>
    <w:rsid w:val="004365B1"/>
    <w:rsid w:val="00440CCD"/>
    <w:rsid w:val="0044132B"/>
    <w:rsid w:val="0044263A"/>
    <w:rsid w:val="004437DD"/>
    <w:rsid w:val="00443D2E"/>
    <w:rsid w:val="004442C0"/>
    <w:rsid w:val="0044467B"/>
    <w:rsid w:val="004450CB"/>
    <w:rsid w:val="004456FC"/>
    <w:rsid w:val="0045072E"/>
    <w:rsid w:val="00450EF2"/>
    <w:rsid w:val="00453A1C"/>
    <w:rsid w:val="00453BDB"/>
    <w:rsid w:val="00453D38"/>
    <w:rsid w:val="00454C8A"/>
    <w:rsid w:val="00455013"/>
    <w:rsid w:val="00455317"/>
    <w:rsid w:val="00455ABB"/>
    <w:rsid w:val="00457005"/>
    <w:rsid w:val="004575C8"/>
    <w:rsid w:val="00460AF8"/>
    <w:rsid w:val="00461369"/>
    <w:rsid w:val="00463ABA"/>
    <w:rsid w:val="004642DC"/>
    <w:rsid w:val="00464CE7"/>
    <w:rsid w:val="00467FEC"/>
    <w:rsid w:val="004706D9"/>
    <w:rsid w:val="004710A2"/>
    <w:rsid w:val="00471DFA"/>
    <w:rsid w:val="004724BF"/>
    <w:rsid w:val="0047330B"/>
    <w:rsid w:val="00473607"/>
    <w:rsid w:val="00473AEC"/>
    <w:rsid w:val="0047520D"/>
    <w:rsid w:val="00475666"/>
    <w:rsid w:val="0047759E"/>
    <w:rsid w:val="0048004B"/>
    <w:rsid w:val="004804DB"/>
    <w:rsid w:val="00481766"/>
    <w:rsid w:val="00483072"/>
    <w:rsid w:val="00483844"/>
    <w:rsid w:val="00486324"/>
    <w:rsid w:val="004873F6"/>
    <w:rsid w:val="004904A5"/>
    <w:rsid w:val="00491FE7"/>
    <w:rsid w:val="00495585"/>
    <w:rsid w:val="00496055"/>
    <w:rsid w:val="004962AA"/>
    <w:rsid w:val="00496B2D"/>
    <w:rsid w:val="004A17A3"/>
    <w:rsid w:val="004A1A4D"/>
    <w:rsid w:val="004A221C"/>
    <w:rsid w:val="004A2A31"/>
    <w:rsid w:val="004A328E"/>
    <w:rsid w:val="004A3436"/>
    <w:rsid w:val="004A3F28"/>
    <w:rsid w:val="004A45FE"/>
    <w:rsid w:val="004A5C8D"/>
    <w:rsid w:val="004A5D07"/>
    <w:rsid w:val="004A66C7"/>
    <w:rsid w:val="004A794D"/>
    <w:rsid w:val="004B0B68"/>
    <w:rsid w:val="004B159F"/>
    <w:rsid w:val="004B1E08"/>
    <w:rsid w:val="004B1EF9"/>
    <w:rsid w:val="004B1F76"/>
    <w:rsid w:val="004B419E"/>
    <w:rsid w:val="004B4936"/>
    <w:rsid w:val="004B4A6F"/>
    <w:rsid w:val="004B6512"/>
    <w:rsid w:val="004B66B7"/>
    <w:rsid w:val="004C00B9"/>
    <w:rsid w:val="004C1929"/>
    <w:rsid w:val="004C22AB"/>
    <w:rsid w:val="004C2350"/>
    <w:rsid w:val="004C4D82"/>
    <w:rsid w:val="004C673A"/>
    <w:rsid w:val="004D11CA"/>
    <w:rsid w:val="004D240D"/>
    <w:rsid w:val="004D3139"/>
    <w:rsid w:val="004D523C"/>
    <w:rsid w:val="004D5DB2"/>
    <w:rsid w:val="004D6A86"/>
    <w:rsid w:val="004D7171"/>
    <w:rsid w:val="004D78B0"/>
    <w:rsid w:val="004E0DC9"/>
    <w:rsid w:val="004E0E00"/>
    <w:rsid w:val="004E13E2"/>
    <w:rsid w:val="004E193C"/>
    <w:rsid w:val="004E23CC"/>
    <w:rsid w:val="004E4293"/>
    <w:rsid w:val="004E485F"/>
    <w:rsid w:val="004E650E"/>
    <w:rsid w:val="004E6E2C"/>
    <w:rsid w:val="004E7527"/>
    <w:rsid w:val="004F310B"/>
    <w:rsid w:val="004F544C"/>
    <w:rsid w:val="004F66B8"/>
    <w:rsid w:val="004F6F8A"/>
    <w:rsid w:val="004F7E67"/>
    <w:rsid w:val="005040ED"/>
    <w:rsid w:val="005056BD"/>
    <w:rsid w:val="00505A8C"/>
    <w:rsid w:val="00506FA6"/>
    <w:rsid w:val="005129E3"/>
    <w:rsid w:val="00512B55"/>
    <w:rsid w:val="00512BC2"/>
    <w:rsid w:val="00514C8C"/>
    <w:rsid w:val="005158C0"/>
    <w:rsid w:val="00516A64"/>
    <w:rsid w:val="00520961"/>
    <w:rsid w:val="005223F4"/>
    <w:rsid w:val="00522ABE"/>
    <w:rsid w:val="00522EF2"/>
    <w:rsid w:val="00523FF7"/>
    <w:rsid w:val="005244A9"/>
    <w:rsid w:val="00525249"/>
    <w:rsid w:val="0052672A"/>
    <w:rsid w:val="0052707B"/>
    <w:rsid w:val="0053195C"/>
    <w:rsid w:val="00531FD8"/>
    <w:rsid w:val="0053349D"/>
    <w:rsid w:val="005369F4"/>
    <w:rsid w:val="0054134E"/>
    <w:rsid w:val="00541A3C"/>
    <w:rsid w:val="0054292F"/>
    <w:rsid w:val="005432E3"/>
    <w:rsid w:val="00544057"/>
    <w:rsid w:val="00544A78"/>
    <w:rsid w:val="005452CC"/>
    <w:rsid w:val="00547C7C"/>
    <w:rsid w:val="00550AA7"/>
    <w:rsid w:val="00551A4E"/>
    <w:rsid w:val="00551C22"/>
    <w:rsid w:val="005556DC"/>
    <w:rsid w:val="00556DA5"/>
    <w:rsid w:val="00560351"/>
    <w:rsid w:val="0056092D"/>
    <w:rsid w:val="00561A05"/>
    <w:rsid w:val="00561CF5"/>
    <w:rsid w:val="005626CD"/>
    <w:rsid w:val="005627E3"/>
    <w:rsid w:val="00563D86"/>
    <w:rsid w:val="00565BEA"/>
    <w:rsid w:val="00565DCF"/>
    <w:rsid w:val="005675FD"/>
    <w:rsid w:val="00567C2E"/>
    <w:rsid w:val="00567ED8"/>
    <w:rsid w:val="00570CA7"/>
    <w:rsid w:val="00572A04"/>
    <w:rsid w:val="00574546"/>
    <w:rsid w:val="005763A5"/>
    <w:rsid w:val="005772EC"/>
    <w:rsid w:val="00577A96"/>
    <w:rsid w:val="0058091E"/>
    <w:rsid w:val="005822FB"/>
    <w:rsid w:val="0058475E"/>
    <w:rsid w:val="00586B79"/>
    <w:rsid w:val="00590891"/>
    <w:rsid w:val="005939BD"/>
    <w:rsid w:val="005945FF"/>
    <w:rsid w:val="005956E1"/>
    <w:rsid w:val="0059655A"/>
    <w:rsid w:val="00596A28"/>
    <w:rsid w:val="00596CD5"/>
    <w:rsid w:val="005A0364"/>
    <w:rsid w:val="005A050D"/>
    <w:rsid w:val="005A064E"/>
    <w:rsid w:val="005A0EB7"/>
    <w:rsid w:val="005A1AA3"/>
    <w:rsid w:val="005A39EF"/>
    <w:rsid w:val="005A4A09"/>
    <w:rsid w:val="005A5637"/>
    <w:rsid w:val="005A5F98"/>
    <w:rsid w:val="005A6713"/>
    <w:rsid w:val="005A7C85"/>
    <w:rsid w:val="005B0419"/>
    <w:rsid w:val="005B0D5C"/>
    <w:rsid w:val="005B2147"/>
    <w:rsid w:val="005B2A6E"/>
    <w:rsid w:val="005B3759"/>
    <w:rsid w:val="005B599E"/>
    <w:rsid w:val="005B6875"/>
    <w:rsid w:val="005B68C4"/>
    <w:rsid w:val="005B72E1"/>
    <w:rsid w:val="005C07AB"/>
    <w:rsid w:val="005C1BCE"/>
    <w:rsid w:val="005C2672"/>
    <w:rsid w:val="005C4086"/>
    <w:rsid w:val="005C57B0"/>
    <w:rsid w:val="005C723E"/>
    <w:rsid w:val="005D1E22"/>
    <w:rsid w:val="005D21DE"/>
    <w:rsid w:val="005D23D7"/>
    <w:rsid w:val="005D3581"/>
    <w:rsid w:val="005D5190"/>
    <w:rsid w:val="005D5B8A"/>
    <w:rsid w:val="005D5FF9"/>
    <w:rsid w:val="005E0404"/>
    <w:rsid w:val="005E179D"/>
    <w:rsid w:val="005E3025"/>
    <w:rsid w:val="005E3262"/>
    <w:rsid w:val="005E351E"/>
    <w:rsid w:val="005E38FE"/>
    <w:rsid w:val="005E444D"/>
    <w:rsid w:val="005E5AF2"/>
    <w:rsid w:val="005E5B5D"/>
    <w:rsid w:val="005E7EFB"/>
    <w:rsid w:val="005F28D4"/>
    <w:rsid w:val="005F4529"/>
    <w:rsid w:val="005F5588"/>
    <w:rsid w:val="005F5628"/>
    <w:rsid w:val="005F7088"/>
    <w:rsid w:val="005F713C"/>
    <w:rsid w:val="005F795C"/>
    <w:rsid w:val="005F7D21"/>
    <w:rsid w:val="005F7EF6"/>
    <w:rsid w:val="0060100E"/>
    <w:rsid w:val="00601962"/>
    <w:rsid w:val="00601B32"/>
    <w:rsid w:val="00601D7C"/>
    <w:rsid w:val="006023EB"/>
    <w:rsid w:val="00602455"/>
    <w:rsid w:val="00603289"/>
    <w:rsid w:val="0060513E"/>
    <w:rsid w:val="006054B7"/>
    <w:rsid w:val="00605A5D"/>
    <w:rsid w:val="006109AC"/>
    <w:rsid w:val="006121FC"/>
    <w:rsid w:val="00613254"/>
    <w:rsid w:val="0061470E"/>
    <w:rsid w:val="0061527B"/>
    <w:rsid w:val="006152D0"/>
    <w:rsid w:val="00617542"/>
    <w:rsid w:val="00620C57"/>
    <w:rsid w:val="00631CA9"/>
    <w:rsid w:val="0063377B"/>
    <w:rsid w:val="00633A12"/>
    <w:rsid w:val="00634026"/>
    <w:rsid w:val="0063418B"/>
    <w:rsid w:val="00634DCF"/>
    <w:rsid w:val="00640F41"/>
    <w:rsid w:val="00643E43"/>
    <w:rsid w:val="00644D38"/>
    <w:rsid w:val="006456B1"/>
    <w:rsid w:val="0065279F"/>
    <w:rsid w:val="006536FC"/>
    <w:rsid w:val="00653809"/>
    <w:rsid w:val="00654C6B"/>
    <w:rsid w:val="00655A41"/>
    <w:rsid w:val="006602EC"/>
    <w:rsid w:val="00660373"/>
    <w:rsid w:val="00661072"/>
    <w:rsid w:val="00661AC6"/>
    <w:rsid w:val="00661BCB"/>
    <w:rsid w:val="006626DE"/>
    <w:rsid w:val="00662FFF"/>
    <w:rsid w:val="00663D30"/>
    <w:rsid w:val="00667008"/>
    <w:rsid w:val="00667186"/>
    <w:rsid w:val="0066786E"/>
    <w:rsid w:val="00667E02"/>
    <w:rsid w:val="00670482"/>
    <w:rsid w:val="00670C65"/>
    <w:rsid w:val="0067155D"/>
    <w:rsid w:val="00671710"/>
    <w:rsid w:val="0067220E"/>
    <w:rsid w:val="00672505"/>
    <w:rsid w:val="00672A74"/>
    <w:rsid w:val="00672E7E"/>
    <w:rsid w:val="00674B61"/>
    <w:rsid w:val="00674F40"/>
    <w:rsid w:val="006765B1"/>
    <w:rsid w:val="00676AA6"/>
    <w:rsid w:val="00677931"/>
    <w:rsid w:val="00677B59"/>
    <w:rsid w:val="00677EA8"/>
    <w:rsid w:val="0068014D"/>
    <w:rsid w:val="0068341C"/>
    <w:rsid w:val="00684E52"/>
    <w:rsid w:val="00685B1D"/>
    <w:rsid w:val="00685D96"/>
    <w:rsid w:val="006879C2"/>
    <w:rsid w:val="00692E89"/>
    <w:rsid w:val="006944DD"/>
    <w:rsid w:val="00694E59"/>
    <w:rsid w:val="0069683B"/>
    <w:rsid w:val="00697AE3"/>
    <w:rsid w:val="00697EBB"/>
    <w:rsid w:val="00697FDB"/>
    <w:rsid w:val="006A1A1B"/>
    <w:rsid w:val="006A1E1F"/>
    <w:rsid w:val="006A1E80"/>
    <w:rsid w:val="006A2084"/>
    <w:rsid w:val="006A2130"/>
    <w:rsid w:val="006A372F"/>
    <w:rsid w:val="006A4441"/>
    <w:rsid w:val="006A6AB8"/>
    <w:rsid w:val="006B0189"/>
    <w:rsid w:val="006B0532"/>
    <w:rsid w:val="006B0D7E"/>
    <w:rsid w:val="006B12B2"/>
    <w:rsid w:val="006B15CD"/>
    <w:rsid w:val="006B1E31"/>
    <w:rsid w:val="006B1E91"/>
    <w:rsid w:val="006B3031"/>
    <w:rsid w:val="006B32E4"/>
    <w:rsid w:val="006B3FCA"/>
    <w:rsid w:val="006B6186"/>
    <w:rsid w:val="006B6975"/>
    <w:rsid w:val="006B7CDA"/>
    <w:rsid w:val="006C44CD"/>
    <w:rsid w:val="006C5238"/>
    <w:rsid w:val="006C5511"/>
    <w:rsid w:val="006C6521"/>
    <w:rsid w:val="006C675C"/>
    <w:rsid w:val="006D14B6"/>
    <w:rsid w:val="006D3C14"/>
    <w:rsid w:val="006D4351"/>
    <w:rsid w:val="006D4435"/>
    <w:rsid w:val="006D683F"/>
    <w:rsid w:val="006D6931"/>
    <w:rsid w:val="006D6C1E"/>
    <w:rsid w:val="006E14DD"/>
    <w:rsid w:val="006E2464"/>
    <w:rsid w:val="006E2933"/>
    <w:rsid w:val="006E494B"/>
    <w:rsid w:val="006E4B76"/>
    <w:rsid w:val="006E53B0"/>
    <w:rsid w:val="006E6053"/>
    <w:rsid w:val="006F1683"/>
    <w:rsid w:val="006F1EF6"/>
    <w:rsid w:val="006F239F"/>
    <w:rsid w:val="006F24C1"/>
    <w:rsid w:val="006F252F"/>
    <w:rsid w:val="006F2CCC"/>
    <w:rsid w:val="006F567D"/>
    <w:rsid w:val="006F5A74"/>
    <w:rsid w:val="006F6090"/>
    <w:rsid w:val="006F6F05"/>
    <w:rsid w:val="006F773F"/>
    <w:rsid w:val="006F7E1E"/>
    <w:rsid w:val="00706989"/>
    <w:rsid w:val="00707734"/>
    <w:rsid w:val="00707DA4"/>
    <w:rsid w:val="00710605"/>
    <w:rsid w:val="00710729"/>
    <w:rsid w:val="0071082A"/>
    <w:rsid w:val="00710A6D"/>
    <w:rsid w:val="00711601"/>
    <w:rsid w:val="007121A7"/>
    <w:rsid w:val="0071243B"/>
    <w:rsid w:val="007131AD"/>
    <w:rsid w:val="00714798"/>
    <w:rsid w:val="007206BF"/>
    <w:rsid w:val="007228B1"/>
    <w:rsid w:val="007232EF"/>
    <w:rsid w:val="00723E63"/>
    <w:rsid w:val="00723EEC"/>
    <w:rsid w:val="007246C7"/>
    <w:rsid w:val="007247EF"/>
    <w:rsid w:val="00724E18"/>
    <w:rsid w:val="0072574C"/>
    <w:rsid w:val="00725D17"/>
    <w:rsid w:val="00727919"/>
    <w:rsid w:val="00727CA5"/>
    <w:rsid w:val="00727F00"/>
    <w:rsid w:val="0073126F"/>
    <w:rsid w:val="0073213D"/>
    <w:rsid w:val="007329F8"/>
    <w:rsid w:val="00734A56"/>
    <w:rsid w:val="00734CBC"/>
    <w:rsid w:val="00740D05"/>
    <w:rsid w:val="007415C1"/>
    <w:rsid w:val="0074269D"/>
    <w:rsid w:val="00747B9B"/>
    <w:rsid w:val="00752C17"/>
    <w:rsid w:val="0075324A"/>
    <w:rsid w:val="00753B32"/>
    <w:rsid w:val="00753F14"/>
    <w:rsid w:val="00755C6B"/>
    <w:rsid w:val="0076046B"/>
    <w:rsid w:val="00761EE0"/>
    <w:rsid w:val="00762294"/>
    <w:rsid w:val="00762F0C"/>
    <w:rsid w:val="00763EB5"/>
    <w:rsid w:val="00764252"/>
    <w:rsid w:val="00767BA8"/>
    <w:rsid w:val="00770205"/>
    <w:rsid w:val="00771A71"/>
    <w:rsid w:val="00771E8C"/>
    <w:rsid w:val="00772261"/>
    <w:rsid w:val="00772AAD"/>
    <w:rsid w:val="00772BB9"/>
    <w:rsid w:val="00772E4B"/>
    <w:rsid w:val="007762AA"/>
    <w:rsid w:val="0077654D"/>
    <w:rsid w:val="00780157"/>
    <w:rsid w:val="00780DEE"/>
    <w:rsid w:val="00780F33"/>
    <w:rsid w:val="0078117C"/>
    <w:rsid w:val="00782C11"/>
    <w:rsid w:val="007836FB"/>
    <w:rsid w:val="00783E3B"/>
    <w:rsid w:val="007861EA"/>
    <w:rsid w:val="00787962"/>
    <w:rsid w:val="00787A5C"/>
    <w:rsid w:val="007918FB"/>
    <w:rsid w:val="00793844"/>
    <w:rsid w:val="007944DD"/>
    <w:rsid w:val="00796CCE"/>
    <w:rsid w:val="00796DAC"/>
    <w:rsid w:val="007A0C4F"/>
    <w:rsid w:val="007A2790"/>
    <w:rsid w:val="007A408B"/>
    <w:rsid w:val="007A4724"/>
    <w:rsid w:val="007A4ECA"/>
    <w:rsid w:val="007B5841"/>
    <w:rsid w:val="007B5A25"/>
    <w:rsid w:val="007B6783"/>
    <w:rsid w:val="007C1008"/>
    <w:rsid w:val="007C1E38"/>
    <w:rsid w:val="007C30DB"/>
    <w:rsid w:val="007C3D1B"/>
    <w:rsid w:val="007C3FDD"/>
    <w:rsid w:val="007C42D3"/>
    <w:rsid w:val="007C529C"/>
    <w:rsid w:val="007C5EBB"/>
    <w:rsid w:val="007C69F0"/>
    <w:rsid w:val="007C77A7"/>
    <w:rsid w:val="007D01AF"/>
    <w:rsid w:val="007D0749"/>
    <w:rsid w:val="007D0C4A"/>
    <w:rsid w:val="007D17DA"/>
    <w:rsid w:val="007D281C"/>
    <w:rsid w:val="007D2873"/>
    <w:rsid w:val="007D4255"/>
    <w:rsid w:val="007D5104"/>
    <w:rsid w:val="007D7151"/>
    <w:rsid w:val="007E4DF3"/>
    <w:rsid w:val="007E636A"/>
    <w:rsid w:val="007E694E"/>
    <w:rsid w:val="007F0B1C"/>
    <w:rsid w:val="007F1C60"/>
    <w:rsid w:val="007F2CFF"/>
    <w:rsid w:val="007F42EF"/>
    <w:rsid w:val="007F54C8"/>
    <w:rsid w:val="0080013E"/>
    <w:rsid w:val="008003B4"/>
    <w:rsid w:val="0080094B"/>
    <w:rsid w:val="00802AFC"/>
    <w:rsid w:val="00802C21"/>
    <w:rsid w:val="00804AAB"/>
    <w:rsid w:val="00804D85"/>
    <w:rsid w:val="00804FB3"/>
    <w:rsid w:val="00805733"/>
    <w:rsid w:val="00806EEB"/>
    <w:rsid w:val="008110DF"/>
    <w:rsid w:val="008111F7"/>
    <w:rsid w:val="008114E2"/>
    <w:rsid w:val="0081299D"/>
    <w:rsid w:val="00813AAF"/>
    <w:rsid w:val="008140EF"/>
    <w:rsid w:val="00814C09"/>
    <w:rsid w:val="00814E65"/>
    <w:rsid w:val="00820C51"/>
    <w:rsid w:val="00822247"/>
    <w:rsid w:val="00822F58"/>
    <w:rsid w:val="008231A7"/>
    <w:rsid w:val="008232AD"/>
    <w:rsid w:val="00823838"/>
    <w:rsid w:val="008239D6"/>
    <w:rsid w:val="00824D7F"/>
    <w:rsid w:val="00826777"/>
    <w:rsid w:val="00826A46"/>
    <w:rsid w:val="008301CE"/>
    <w:rsid w:val="00830E4D"/>
    <w:rsid w:val="00831916"/>
    <w:rsid w:val="00832128"/>
    <w:rsid w:val="00833096"/>
    <w:rsid w:val="00833577"/>
    <w:rsid w:val="00833D2C"/>
    <w:rsid w:val="0083462F"/>
    <w:rsid w:val="00835FBE"/>
    <w:rsid w:val="0083638F"/>
    <w:rsid w:val="00836FAB"/>
    <w:rsid w:val="00837399"/>
    <w:rsid w:val="008373AB"/>
    <w:rsid w:val="0083779F"/>
    <w:rsid w:val="00841433"/>
    <w:rsid w:val="008419E8"/>
    <w:rsid w:val="00842278"/>
    <w:rsid w:val="008424D5"/>
    <w:rsid w:val="00842D4C"/>
    <w:rsid w:val="00843F46"/>
    <w:rsid w:val="00844B84"/>
    <w:rsid w:val="0084526C"/>
    <w:rsid w:val="008459E0"/>
    <w:rsid w:val="00845F48"/>
    <w:rsid w:val="00846E24"/>
    <w:rsid w:val="008474AA"/>
    <w:rsid w:val="0085125C"/>
    <w:rsid w:val="00851B63"/>
    <w:rsid w:val="00852B38"/>
    <w:rsid w:val="00852C51"/>
    <w:rsid w:val="00853BFC"/>
    <w:rsid w:val="00854235"/>
    <w:rsid w:val="008542EC"/>
    <w:rsid w:val="0085460E"/>
    <w:rsid w:val="008551D1"/>
    <w:rsid w:val="008566E2"/>
    <w:rsid w:val="00857ACD"/>
    <w:rsid w:val="00860793"/>
    <w:rsid w:val="00860C61"/>
    <w:rsid w:val="00862024"/>
    <w:rsid w:val="00862D27"/>
    <w:rsid w:val="00863266"/>
    <w:rsid w:val="00865211"/>
    <w:rsid w:val="008653F4"/>
    <w:rsid w:val="00865C17"/>
    <w:rsid w:val="00866269"/>
    <w:rsid w:val="008673AA"/>
    <w:rsid w:val="008678E5"/>
    <w:rsid w:val="00867A41"/>
    <w:rsid w:val="008705D0"/>
    <w:rsid w:val="008708C9"/>
    <w:rsid w:val="008729CA"/>
    <w:rsid w:val="0087321B"/>
    <w:rsid w:val="0087468B"/>
    <w:rsid w:val="008763A1"/>
    <w:rsid w:val="008765F2"/>
    <w:rsid w:val="00877472"/>
    <w:rsid w:val="0088159F"/>
    <w:rsid w:val="00882116"/>
    <w:rsid w:val="00883ABC"/>
    <w:rsid w:val="008843AC"/>
    <w:rsid w:val="008845B2"/>
    <w:rsid w:val="00886120"/>
    <w:rsid w:val="008878FA"/>
    <w:rsid w:val="0089066F"/>
    <w:rsid w:val="00893C08"/>
    <w:rsid w:val="00895183"/>
    <w:rsid w:val="008961F9"/>
    <w:rsid w:val="008A1035"/>
    <w:rsid w:val="008A2E49"/>
    <w:rsid w:val="008A30BA"/>
    <w:rsid w:val="008A388B"/>
    <w:rsid w:val="008A4E5F"/>
    <w:rsid w:val="008A507E"/>
    <w:rsid w:val="008A57CB"/>
    <w:rsid w:val="008A5E71"/>
    <w:rsid w:val="008A708C"/>
    <w:rsid w:val="008A7C98"/>
    <w:rsid w:val="008B1085"/>
    <w:rsid w:val="008B115B"/>
    <w:rsid w:val="008B17A7"/>
    <w:rsid w:val="008B2187"/>
    <w:rsid w:val="008B3C27"/>
    <w:rsid w:val="008B45BC"/>
    <w:rsid w:val="008B525D"/>
    <w:rsid w:val="008B5611"/>
    <w:rsid w:val="008B5F21"/>
    <w:rsid w:val="008B77E2"/>
    <w:rsid w:val="008C15BC"/>
    <w:rsid w:val="008C3625"/>
    <w:rsid w:val="008C624E"/>
    <w:rsid w:val="008C79BD"/>
    <w:rsid w:val="008D0382"/>
    <w:rsid w:val="008D1D21"/>
    <w:rsid w:val="008D2E70"/>
    <w:rsid w:val="008D396F"/>
    <w:rsid w:val="008D4FC3"/>
    <w:rsid w:val="008D576F"/>
    <w:rsid w:val="008D5B6A"/>
    <w:rsid w:val="008D63AF"/>
    <w:rsid w:val="008D689F"/>
    <w:rsid w:val="008D6D5C"/>
    <w:rsid w:val="008E3BC7"/>
    <w:rsid w:val="008E4364"/>
    <w:rsid w:val="008E4669"/>
    <w:rsid w:val="008E4823"/>
    <w:rsid w:val="008E497C"/>
    <w:rsid w:val="008F0749"/>
    <w:rsid w:val="008F239D"/>
    <w:rsid w:val="008F2A92"/>
    <w:rsid w:val="008F2BD3"/>
    <w:rsid w:val="008F4145"/>
    <w:rsid w:val="008F4602"/>
    <w:rsid w:val="008F48AD"/>
    <w:rsid w:val="008F4BDF"/>
    <w:rsid w:val="008F50F4"/>
    <w:rsid w:val="008F5C58"/>
    <w:rsid w:val="0090068B"/>
    <w:rsid w:val="00900A4D"/>
    <w:rsid w:val="00900C71"/>
    <w:rsid w:val="009038AA"/>
    <w:rsid w:val="0090454A"/>
    <w:rsid w:val="009046EA"/>
    <w:rsid w:val="0090506A"/>
    <w:rsid w:val="009055EE"/>
    <w:rsid w:val="00905AE2"/>
    <w:rsid w:val="009063F5"/>
    <w:rsid w:val="00906ECE"/>
    <w:rsid w:val="009078FD"/>
    <w:rsid w:val="00913C6C"/>
    <w:rsid w:val="00913EC4"/>
    <w:rsid w:val="00914A34"/>
    <w:rsid w:val="00916B2F"/>
    <w:rsid w:val="00916B81"/>
    <w:rsid w:val="00916CD4"/>
    <w:rsid w:val="0091781B"/>
    <w:rsid w:val="0092130B"/>
    <w:rsid w:val="00923937"/>
    <w:rsid w:val="00923947"/>
    <w:rsid w:val="00923ED1"/>
    <w:rsid w:val="00924166"/>
    <w:rsid w:val="009243DF"/>
    <w:rsid w:val="00925847"/>
    <w:rsid w:val="00925D92"/>
    <w:rsid w:val="0092699B"/>
    <w:rsid w:val="0092699E"/>
    <w:rsid w:val="0092779C"/>
    <w:rsid w:val="009301C5"/>
    <w:rsid w:val="00930A71"/>
    <w:rsid w:val="0093156B"/>
    <w:rsid w:val="0093494E"/>
    <w:rsid w:val="00934ECF"/>
    <w:rsid w:val="0093596D"/>
    <w:rsid w:val="0093606B"/>
    <w:rsid w:val="0093788D"/>
    <w:rsid w:val="009411C8"/>
    <w:rsid w:val="009414CA"/>
    <w:rsid w:val="0094184E"/>
    <w:rsid w:val="00942C93"/>
    <w:rsid w:val="00943417"/>
    <w:rsid w:val="009436C1"/>
    <w:rsid w:val="009448AC"/>
    <w:rsid w:val="00944A68"/>
    <w:rsid w:val="009453C1"/>
    <w:rsid w:val="009462EE"/>
    <w:rsid w:val="00950CA1"/>
    <w:rsid w:val="0095160B"/>
    <w:rsid w:val="009516DF"/>
    <w:rsid w:val="00951BD9"/>
    <w:rsid w:val="00951FC6"/>
    <w:rsid w:val="009520DC"/>
    <w:rsid w:val="00952FE9"/>
    <w:rsid w:val="00953E94"/>
    <w:rsid w:val="00955DD3"/>
    <w:rsid w:val="00956A49"/>
    <w:rsid w:val="00957804"/>
    <w:rsid w:val="00957B50"/>
    <w:rsid w:val="00961C97"/>
    <w:rsid w:val="00962A9E"/>
    <w:rsid w:val="00962AE5"/>
    <w:rsid w:val="00963FDE"/>
    <w:rsid w:val="009640F3"/>
    <w:rsid w:val="00964D91"/>
    <w:rsid w:val="00965E00"/>
    <w:rsid w:val="00970874"/>
    <w:rsid w:val="00973ED6"/>
    <w:rsid w:val="0097510A"/>
    <w:rsid w:val="0097673E"/>
    <w:rsid w:val="00980BA8"/>
    <w:rsid w:val="0098208A"/>
    <w:rsid w:val="00986869"/>
    <w:rsid w:val="00986ED4"/>
    <w:rsid w:val="00987439"/>
    <w:rsid w:val="00987958"/>
    <w:rsid w:val="00987C13"/>
    <w:rsid w:val="00990421"/>
    <w:rsid w:val="00992397"/>
    <w:rsid w:val="00993331"/>
    <w:rsid w:val="009939DB"/>
    <w:rsid w:val="00994537"/>
    <w:rsid w:val="00995637"/>
    <w:rsid w:val="0099731C"/>
    <w:rsid w:val="009A00E8"/>
    <w:rsid w:val="009A043C"/>
    <w:rsid w:val="009A0D80"/>
    <w:rsid w:val="009A29A7"/>
    <w:rsid w:val="009A2B75"/>
    <w:rsid w:val="009A45B1"/>
    <w:rsid w:val="009A69E6"/>
    <w:rsid w:val="009A7C0C"/>
    <w:rsid w:val="009B04D2"/>
    <w:rsid w:val="009B204E"/>
    <w:rsid w:val="009B3FF9"/>
    <w:rsid w:val="009B4101"/>
    <w:rsid w:val="009C061B"/>
    <w:rsid w:val="009C0758"/>
    <w:rsid w:val="009C26E5"/>
    <w:rsid w:val="009C4255"/>
    <w:rsid w:val="009C4546"/>
    <w:rsid w:val="009C5F37"/>
    <w:rsid w:val="009C67C2"/>
    <w:rsid w:val="009C7A01"/>
    <w:rsid w:val="009D04A5"/>
    <w:rsid w:val="009D12DD"/>
    <w:rsid w:val="009D229C"/>
    <w:rsid w:val="009D23A0"/>
    <w:rsid w:val="009D2486"/>
    <w:rsid w:val="009D2489"/>
    <w:rsid w:val="009D364A"/>
    <w:rsid w:val="009D3E35"/>
    <w:rsid w:val="009D5C69"/>
    <w:rsid w:val="009D71BE"/>
    <w:rsid w:val="009D79DA"/>
    <w:rsid w:val="009E0406"/>
    <w:rsid w:val="009E0BFF"/>
    <w:rsid w:val="009E2595"/>
    <w:rsid w:val="009E5E47"/>
    <w:rsid w:val="009E6345"/>
    <w:rsid w:val="009E6B8A"/>
    <w:rsid w:val="009E6BDA"/>
    <w:rsid w:val="009E6C39"/>
    <w:rsid w:val="009F0467"/>
    <w:rsid w:val="009F327C"/>
    <w:rsid w:val="009F4329"/>
    <w:rsid w:val="009F5DB7"/>
    <w:rsid w:val="009F7461"/>
    <w:rsid w:val="00A00D46"/>
    <w:rsid w:val="00A01A15"/>
    <w:rsid w:val="00A0244F"/>
    <w:rsid w:val="00A02837"/>
    <w:rsid w:val="00A02E20"/>
    <w:rsid w:val="00A04313"/>
    <w:rsid w:val="00A06816"/>
    <w:rsid w:val="00A1102C"/>
    <w:rsid w:val="00A1116E"/>
    <w:rsid w:val="00A11CE7"/>
    <w:rsid w:val="00A11DF9"/>
    <w:rsid w:val="00A1256F"/>
    <w:rsid w:val="00A12F07"/>
    <w:rsid w:val="00A13070"/>
    <w:rsid w:val="00A131A0"/>
    <w:rsid w:val="00A159B6"/>
    <w:rsid w:val="00A20BF5"/>
    <w:rsid w:val="00A2343F"/>
    <w:rsid w:val="00A24572"/>
    <w:rsid w:val="00A246CB"/>
    <w:rsid w:val="00A24DDF"/>
    <w:rsid w:val="00A24E90"/>
    <w:rsid w:val="00A25D13"/>
    <w:rsid w:val="00A27BDE"/>
    <w:rsid w:val="00A30541"/>
    <w:rsid w:val="00A30BAC"/>
    <w:rsid w:val="00A31B06"/>
    <w:rsid w:val="00A328F0"/>
    <w:rsid w:val="00A3348B"/>
    <w:rsid w:val="00A335BD"/>
    <w:rsid w:val="00A34E5D"/>
    <w:rsid w:val="00A35F3F"/>
    <w:rsid w:val="00A35F70"/>
    <w:rsid w:val="00A36CC4"/>
    <w:rsid w:val="00A36EB0"/>
    <w:rsid w:val="00A37A20"/>
    <w:rsid w:val="00A37F46"/>
    <w:rsid w:val="00A40F08"/>
    <w:rsid w:val="00A419EA"/>
    <w:rsid w:val="00A42644"/>
    <w:rsid w:val="00A430F5"/>
    <w:rsid w:val="00A444FC"/>
    <w:rsid w:val="00A479AE"/>
    <w:rsid w:val="00A50064"/>
    <w:rsid w:val="00A50A30"/>
    <w:rsid w:val="00A514CE"/>
    <w:rsid w:val="00A5257B"/>
    <w:rsid w:val="00A529DA"/>
    <w:rsid w:val="00A52C29"/>
    <w:rsid w:val="00A548D0"/>
    <w:rsid w:val="00A5591A"/>
    <w:rsid w:val="00A60901"/>
    <w:rsid w:val="00A6117D"/>
    <w:rsid w:val="00A611AB"/>
    <w:rsid w:val="00A6320A"/>
    <w:rsid w:val="00A63221"/>
    <w:rsid w:val="00A63E72"/>
    <w:rsid w:val="00A6494D"/>
    <w:rsid w:val="00A64A1E"/>
    <w:rsid w:val="00A66065"/>
    <w:rsid w:val="00A66405"/>
    <w:rsid w:val="00A6651E"/>
    <w:rsid w:val="00A67982"/>
    <w:rsid w:val="00A715A9"/>
    <w:rsid w:val="00A71B18"/>
    <w:rsid w:val="00A73C01"/>
    <w:rsid w:val="00A74474"/>
    <w:rsid w:val="00A75ECC"/>
    <w:rsid w:val="00A76B9F"/>
    <w:rsid w:val="00A76FF4"/>
    <w:rsid w:val="00A775D2"/>
    <w:rsid w:val="00A77AD3"/>
    <w:rsid w:val="00A77F90"/>
    <w:rsid w:val="00A803C5"/>
    <w:rsid w:val="00A8154E"/>
    <w:rsid w:val="00A81E48"/>
    <w:rsid w:val="00A82DAE"/>
    <w:rsid w:val="00A85C3A"/>
    <w:rsid w:val="00A874DB"/>
    <w:rsid w:val="00A8763D"/>
    <w:rsid w:val="00A92023"/>
    <w:rsid w:val="00A92721"/>
    <w:rsid w:val="00A9414A"/>
    <w:rsid w:val="00A94E43"/>
    <w:rsid w:val="00A95AA4"/>
    <w:rsid w:val="00A96428"/>
    <w:rsid w:val="00A97E93"/>
    <w:rsid w:val="00AA0D7F"/>
    <w:rsid w:val="00AA4215"/>
    <w:rsid w:val="00AA435F"/>
    <w:rsid w:val="00AA455E"/>
    <w:rsid w:val="00AB3266"/>
    <w:rsid w:val="00AB3A55"/>
    <w:rsid w:val="00AB3FB8"/>
    <w:rsid w:val="00AB6426"/>
    <w:rsid w:val="00AB705A"/>
    <w:rsid w:val="00AB7538"/>
    <w:rsid w:val="00AC1271"/>
    <w:rsid w:val="00AC2AD8"/>
    <w:rsid w:val="00AC2DFD"/>
    <w:rsid w:val="00AC44B2"/>
    <w:rsid w:val="00AC48BA"/>
    <w:rsid w:val="00AC582F"/>
    <w:rsid w:val="00AC68D0"/>
    <w:rsid w:val="00AD01D8"/>
    <w:rsid w:val="00AD20B4"/>
    <w:rsid w:val="00AD2D46"/>
    <w:rsid w:val="00AD2F23"/>
    <w:rsid w:val="00AD3175"/>
    <w:rsid w:val="00AD4374"/>
    <w:rsid w:val="00AD46D1"/>
    <w:rsid w:val="00AD5BEE"/>
    <w:rsid w:val="00AD5CF2"/>
    <w:rsid w:val="00AD62DE"/>
    <w:rsid w:val="00AD69CD"/>
    <w:rsid w:val="00AD6CDE"/>
    <w:rsid w:val="00AD7511"/>
    <w:rsid w:val="00AE2048"/>
    <w:rsid w:val="00AE2B27"/>
    <w:rsid w:val="00AE35D1"/>
    <w:rsid w:val="00AE539A"/>
    <w:rsid w:val="00AE5DEF"/>
    <w:rsid w:val="00AF0A29"/>
    <w:rsid w:val="00AF0D15"/>
    <w:rsid w:val="00AF21C1"/>
    <w:rsid w:val="00AF49B6"/>
    <w:rsid w:val="00AF49BA"/>
    <w:rsid w:val="00AF5E9D"/>
    <w:rsid w:val="00AF6545"/>
    <w:rsid w:val="00AF69D4"/>
    <w:rsid w:val="00B00526"/>
    <w:rsid w:val="00B0111E"/>
    <w:rsid w:val="00B04CCA"/>
    <w:rsid w:val="00B05E4A"/>
    <w:rsid w:val="00B12822"/>
    <w:rsid w:val="00B12AAF"/>
    <w:rsid w:val="00B16346"/>
    <w:rsid w:val="00B165A6"/>
    <w:rsid w:val="00B22368"/>
    <w:rsid w:val="00B22A11"/>
    <w:rsid w:val="00B22E08"/>
    <w:rsid w:val="00B23324"/>
    <w:rsid w:val="00B23A0C"/>
    <w:rsid w:val="00B241F9"/>
    <w:rsid w:val="00B24FE5"/>
    <w:rsid w:val="00B25B53"/>
    <w:rsid w:val="00B25BB9"/>
    <w:rsid w:val="00B30AF0"/>
    <w:rsid w:val="00B31F05"/>
    <w:rsid w:val="00B32D18"/>
    <w:rsid w:val="00B3528E"/>
    <w:rsid w:val="00B356E7"/>
    <w:rsid w:val="00B36581"/>
    <w:rsid w:val="00B4008A"/>
    <w:rsid w:val="00B40794"/>
    <w:rsid w:val="00B40E43"/>
    <w:rsid w:val="00B442CE"/>
    <w:rsid w:val="00B44D01"/>
    <w:rsid w:val="00B455A8"/>
    <w:rsid w:val="00B47FE8"/>
    <w:rsid w:val="00B50182"/>
    <w:rsid w:val="00B51331"/>
    <w:rsid w:val="00B52540"/>
    <w:rsid w:val="00B52ADA"/>
    <w:rsid w:val="00B531A5"/>
    <w:rsid w:val="00B55306"/>
    <w:rsid w:val="00B55955"/>
    <w:rsid w:val="00B56915"/>
    <w:rsid w:val="00B56DEC"/>
    <w:rsid w:val="00B6006A"/>
    <w:rsid w:val="00B617C9"/>
    <w:rsid w:val="00B61D40"/>
    <w:rsid w:val="00B6492D"/>
    <w:rsid w:val="00B65CEE"/>
    <w:rsid w:val="00B670A0"/>
    <w:rsid w:val="00B7406C"/>
    <w:rsid w:val="00B75126"/>
    <w:rsid w:val="00B76426"/>
    <w:rsid w:val="00B77E96"/>
    <w:rsid w:val="00B82046"/>
    <w:rsid w:val="00B84B1E"/>
    <w:rsid w:val="00B87AAA"/>
    <w:rsid w:val="00B87F88"/>
    <w:rsid w:val="00B91232"/>
    <w:rsid w:val="00B943A5"/>
    <w:rsid w:val="00BA05F7"/>
    <w:rsid w:val="00BA1383"/>
    <w:rsid w:val="00BA1BF2"/>
    <w:rsid w:val="00BA1F59"/>
    <w:rsid w:val="00BA279D"/>
    <w:rsid w:val="00BA2889"/>
    <w:rsid w:val="00BA31D4"/>
    <w:rsid w:val="00BA46C2"/>
    <w:rsid w:val="00BA500A"/>
    <w:rsid w:val="00BA56D7"/>
    <w:rsid w:val="00BA5C2B"/>
    <w:rsid w:val="00BA75B1"/>
    <w:rsid w:val="00BB0D31"/>
    <w:rsid w:val="00BB1AFA"/>
    <w:rsid w:val="00BB23CB"/>
    <w:rsid w:val="00BB56AF"/>
    <w:rsid w:val="00BB5E49"/>
    <w:rsid w:val="00BB68FE"/>
    <w:rsid w:val="00BC028B"/>
    <w:rsid w:val="00BC05D9"/>
    <w:rsid w:val="00BC1371"/>
    <w:rsid w:val="00BC3684"/>
    <w:rsid w:val="00BC3E83"/>
    <w:rsid w:val="00BC56AA"/>
    <w:rsid w:val="00BC5AF7"/>
    <w:rsid w:val="00BC5D19"/>
    <w:rsid w:val="00BC6406"/>
    <w:rsid w:val="00BD4CF3"/>
    <w:rsid w:val="00BD6377"/>
    <w:rsid w:val="00BD735D"/>
    <w:rsid w:val="00BE0105"/>
    <w:rsid w:val="00BE1D27"/>
    <w:rsid w:val="00BE2425"/>
    <w:rsid w:val="00BE2C89"/>
    <w:rsid w:val="00BE40A7"/>
    <w:rsid w:val="00BE5304"/>
    <w:rsid w:val="00BE729C"/>
    <w:rsid w:val="00BF0A51"/>
    <w:rsid w:val="00BF121C"/>
    <w:rsid w:val="00BF309A"/>
    <w:rsid w:val="00BF3E56"/>
    <w:rsid w:val="00BF4724"/>
    <w:rsid w:val="00BF4E5C"/>
    <w:rsid w:val="00BF5E24"/>
    <w:rsid w:val="00BF6341"/>
    <w:rsid w:val="00BF6431"/>
    <w:rsid w:val="00BF786F"/>
    <w:rsid w:val="00BF7BFB"/>
    <w:rsid w:val="00C00367"/>
    <w:rsid w:val="00C0189B"/>
    <w:rsid w:val="00C03792"/>
    <w:rsid w:val="00C04056"/>
    <w:rsid w:val="00C050BF"/>
    <w:rsid w:val="00C05CC6"/>
    <w:rsid w:val="00C07588"/>
    <w:rsid w:val="00C078B9"/>
    <w:rsid w:val="00C10DAE"/>
    <w:rsid w:val="00C11CCE"/>
    <w:rsid w:val="00C12073"/>
    <w:rsid w:val="00C12F66"/>
    <w:rsid w:val="00C13F32"/>
    <w:rsid w:val="00C15A20"/>
    <w:rsid w:val="00C15BB7"/>
    <w:rsid w:val="00C1626E"/>
    <w:rsid w:val="00C17AD4"/>
    <w:rsid w:val="00C203A7"/>
    <w:rsid w:val="00C216FE"/>
    <w:rsid w:val="00C222DA"/>
    <w:rsid w:val="00C238AF"/>
    <w:rsid w:val="00C25806"/>
    <w:rsid w:val="00C27158"/>
    <w:rsid w:val="00C30A72"/>
    <w:rsid w:val="00C318A9"/>
    <w:rsid w:val="00C33549"/>
    <w:rsid w:val="00C35C44"/>
    <w:rsid w:val="00C35E77"/>
    <w:rsid w:val="00C361E6"/>
    <w:rsid w:val="00C37206"/>
    <w:rsid w:val="00C375BF"/>
    <w:rsid w:val="00C37E77"/>
    <w:rsid w:val="00C420D0"/>
    <w:rsid w:val="00C42525"/>
    <w:rsid w:val="00C436C5"/>
    <w:rsid w:val="00C43F0B"/>
    <w:rsid w:val="00C4431A"/>
    <w:rsid w:val="00C463E6"/>
    <w:rsid w:val="00C46E32"/>
    <w:rsid w:val="00C474AC"/>
    <w:rsid w:val="00C47800"/>
    <w:rsid w:val="00C47C94"/>
    <w:rsid w:val="00C50247"/>
    <w:rsid w:val="00C5025F"/>
    <w:rsid w:val="00C51AA6"/>
    <w:rsid w:val="00C51F8D"/>
    <w:rsid w:val="00C52513"/>
    <w:rsid w:val="00C5400C"/>
    <w:rsid w:val="00C546A5"/>
    <w:rsid w:val="00C54ADC"/>
    <w:rsid w:val="00C55329"/>
    <w:rsid w:val="00C5549A"/>
    <w:rsid w:val="00C56281"/>
    <w:rsid w:val="00C56AD5"/>
    <w:rsid w:val="00C60651"/>
    <w:rsid w:val="00C620D7"/>
    <w:rsid w:val="00C65514"/>
    <w:rsid w:val="00C670D7"/>
    <w:rsid w:val="00C67C03"/>
    <w:rsid w:val="00C67CD3"/>
    <w:rsid w:val="00C70FE7"/>
    <w:rsid w:val="00C72727"/>
    <w:rsid w:val="00C73E32"/>
    <w:rsid w:val="00C74119"/>
    <w:rsid w:val="00C74BD7"/>
    <w:rsid w:val="00C77E42"/>
    <w:rsid w:val="00C8061F"/>
    <w:rsid w:val="00C80784"/>
    <w:rsid w:val="00C81599"/>
    <w:rsid w:val="00C81CE0"/>
    <w:rsid w:val="00C81F09"/>
    <w:rsid w:val="00C83338"/>
    <w:rsid w:val="00C851A4"/>
    <w:rsid w:val="00C853D5"/>
    <w:rsid w:val="00C854AD"/>
    <w:rsid w:val="00C869CA"/>
    <w:rsid w:val="00C87CE8"/>
    <w:rsid w:val="00C9264A"/>
    <w:rsid w:val="00C92E5B"/>
    <w:rsid w:val="00C935B9"/>
    <w:rsid w:val="00C949AB"/>
    <w:rsid w:val="00C9638A"/>
    <w:rsid w:val="00C974B4"/>
    <w:rsid w:val="00CA2CF1"/>
    <w:rsid w:val="00CA3EB5"/>
    <w:rsid w:val="00CA5466"/>
    <w:rsid w:val="00CA5F51"/>
    <w:rsid w:val="00CA6F7E"/>
    <w:rsid w:val="00CA7171"/>
    <w:rsid w:val="00CA740A"/>
    <w:rsid w:val="00CA75C2"/>
    <w:rsid w:val="00CB0C4F"/>
    <w:rsid w:val="00CB1CCC"/>
    <w:rsid w:val="00CB3F5D"/>
    <w:rsid w:val="00CB531A"/>
    <w:rsid w:val="00CB53B9"/>
    <w:rsid w:val="00CB5595"/>
    <w:rsid w:val="00CB5800"/>
    <w:rsid w:val="00CB5CC9"/>
    <w:rsid w:val="00CB6078"/>
    <w:rsid w:val="00CB6BB4"/>
    <w:rsid w:val="00CB6C4F"/>
    <w:rsid w:val="00CB6D03"/>
    <w:rsid w:val="00CC180E"/>
    <w:rsid w:val="00CC19CE"/>
    <w:rsid w:val="00CC20DB"/>
    <w:rsid w:val="00CC2462"/>
    <w:rsid w:val="00CC7A50"/>
    <w:rsid w:val="00CD10C8"/>
    <w:rsid w:val="00CD1D8C"/>
    <w:rsid w:val="00CD2338"/>
    <w:rsid w:val="00CD5837"/>
    <w:rsid w:val="00CD63B5"/>
    <w:rsid w:val="00CD6E9B"/>
    <w:rsid w:val="00CD7977"/>
    <w:rsid w:val="00CE1582"/>
    <w:rsid w:val="00CE1CE1"/>
    <w:rsid w:val="00CE2F0C"/>
    <w:rsid w:val="00CE4E7D"/>
    <w:rsid w:val="00CE4F9D"/>
    <w:rsid w:val="00CE503F"/>
    <w:rsid w:val="00CF1224"/>
    <w:rsid w:val="00CF1C2A"/>
    <w:rsid w:val="00CF1C45"/>
    <w:rsid w:val="00CF30D3"/>
    <w:rsid w:val="00CF323D"/>
    <w:rsid w:val="00CF3C2D"/>
    <w:rsid w:val="00CF3C65"/>
    <w:rsid w:val="00CF6469"/>
    <w:rsid w:val="00CF65FE"/>
    <w:rsid w:val="00CF696D"/>
    <w:rsid w:val="00CF74BF"/>
    <w:rsid w:val="00CF7E51"/>
    <w:rsid w:val="00CF7F80"/>
    <w:rsid w:val="00D0149E"/>
    <w:rsid w:val="00D02123"/>
    <w:rsid w:val="00D02C3C"/>
    <w:rsid w:val="00D05F1D"/>
    <w:rsid w:val="00D069E7"/>
    <w:rsid w:val="00D07513"/>
    <w:rsid w:val="00D1068C"/>
    <w:rsid w:val="00D11C94"/>
    <w:rsid w:val="00D122C5"/>
    <w:rsid w:val="00D12DAE"/>
    <w:rsid w:val="00D13840"/>
    <w:rsid w:val="00D13DDB"/>
    <w:rsid w:val="00D149AF"/>
    <w:rsid w:val="00D15196"/>
    <w:rsid w:val="00D200BD"/>
    <w:rsid w:val="00D2213B"/>
    <w:rsid w:val="00D229DE"/>
    <w:rsid w:val="00D232C4"/>
    <w:rsid w:val="00D23FCB"/>
    <w:rsid w:val="00D26C2F"/>
    <w:rsid w:val="00D3084A"/>
    <w:rsid w:val="00D32B18"/>
    <w:rsid w:val="00D3372D"/>
    <w:rsid w:val="00D34BA0"/>
    <w:rsid w:val="00D34E18"/>
    <w:rsid w:val="00D37244"/>
    <w:rsid w:val="00D37B0E"/>
    <w:rsid w:val="00D37CCF"/>
    <w:rsid w:val="00D40A59"/>
    <w:rsid w:val="00D40D80"/>
    <w:rsid w:val="00D41E93"/>
    <w:rsid w:val="00D4299E"/>
    <w:rsid w:val="00D4356C"/>
    <w:rsid w:val="00D4453C"/>
    <w:rsid w:val="00D44AB8"/>
    <w:rsid w:val="00D5061A"/>
    <w:rsid w:val="00D51DD1"/>
    <w:rsid w:val="00D520A0"/>
    <w:rsid w:val="00D52254"/>
    <w:rsid w:val="00D564F5"/>
    <w:rsid w:val="00D5681A"/>
    <w:rsid w:val="00D57647"/>
    <w:rsid w:val="00D61183"/>
    <w:rsid w:val="00D6230B"/>
    <w:rsid w:val="00D6281A"/>
    <w:rsid w:val="00D6294D"/>
    <w:rsid w:val="00D64EB1"/>
    <w:rsid w:val="00D67B00"/>
    <w:rsid w:val="00D7033E"/>
    <w:rsid w:val="00D703E4"/>
    <w:rsid w:val="00D70C13"/>
    <w:rsid w:val="00D72706"/>
    <w:rsid w:val="00D72719"/>
    <w:rsid w:val="00D732D4"/>
    <w:rsid w:val="00D81478"/>
    <w:rsid w:val="00D84DB5"/>
    <w:rsid w:val="00D85C9C"/>
    <w:rsid w:val="00D86EC5"/>
    <w:rsid w:val="00D87E55"/>
    <w:rsid w:val="00D91B8D"/>
    <w:rsid w:val="00D92BE6"/>
    <w:rsid w:val="00D92E7F"/>
    <w:rsid w:val="00D92EBC"/>
    <w:rsid w:val="00D93863"/>
    <w:rsid w:val="00D93CE5"/>
    <w:rsid w:val="00D946AA"/>
    <w:rsid w:val="00D97F8D"/>
    <w:rsid w:val="00DA030A"/>
    <w:rsid w:val="00DA1D62"/>
    <w:rsid w:val="00DA3005"/>
    <w:rsid w:val="00DA3780"/>
    <w:rsid w:val="00DA3998"/>
    <w:rsid w:val="00DA4977"/>
    <w:rsid w:val="00DA4B10"/>
    <w:rsid w:val="00DA6495"/>
    <w:rsid w:val="00DA78DE"/>
    <w:rsid w:val="00DA7EB6"/>
    <w:rsid w:val="00DB2197"/>
    <w:rsid w:val="00DB4426"/>
    <w:rsid w:val="00DB57CD"/>
    <w:rsid w:val="00DB6902"/>
    <w:rsid w:val="00DC1606"/>
    <w:rsid w:val="00DC2375"/>
    <w:rsid w:val="00DC3E07"/>
    <w:rsid w:val="00DC4D0A"/>
    <w:rsid w:val="00DD0EB1"/>
    <w:rsid w:val="00DD3198"/>
    <w:rsid w:val="00DD4E1D"/>
    <w:rsid w:val="00DE0F24"/>
    <w:rsid w:val="00DE2C19"/>
    <w:rsid w:val="00DE2E31"/>
    <w:rsid w:val="00DE2EA7"/>
    <w:rsid w:val="00DE4151"/>
    <w:rsid w:val="00DE499D"/>
    <w:rsid w:val="00DE68FD"/>
    <w:rsid w:val="00DE6A72"/>
    <w:rsid w:val="00DE787C"/>
    <w:rsid w:val="00DF09CC"/>
    <w:rsid w:val="00DF6067"/>
    <w:rsid w:val="00DF774D"/>
    <w:rsid w:val="00E00059"/>
    <w:rsid w:val="00E009BE"/>
    <w:rsid w:val="00E00EDD"/>
    <w:rsid w:val="00E011F6"/>
    <w:rsid w:val="00E04BD1"/>
    <w:rsid w:val="00E05241"/>
    <w:rsid w:val="00E06011"/>
    <w:rsid w:val="00E06152"/>
    <w:rsid w:val="00E06205"/>
    <w:rsid w:val="00E064D2"/>
    <w:rsid w:val="00E06AA5"/>
    <w:rsid w:val="00E07A71"/>
    <w:rsid w:val="00E07EFD"/>
    <w:rsid w:val="00E11696"/>
    <w:rsid w:val="00E11E87"/>
    <w:rsid w:val="00E12B76"/>
    <w:rsid w:val="00E1425A"/>
    <w:rsid w:val="00E14361"/>
    <w:rsid w:val="00E14771"/>
    <w:rsid w:val="00E166D1"/>
    <w:rsid w:val="00E16C00"/>
    <w:rsid w:val="00E1758B"/>
    <w:rsid w:val="00E20894"/>
    <w:rsid w:val="00E20E7A"/>
    <w:rsid w:val="00E22945"/>
    <w:rsid w:val="00E23201"/>
    <w:rsid w:val="00E2320D"/>
    <w:rsid w:val="00E238DA"/>
    <w:rsid w:val="00E24044"/>
    <w:rsid w:val="00E2591E"/>
    <w:rsid w:val="00E265EA"/>
    <w:rsid w:val="00E27C47"/>
    <w:rsid w:val="00E3196E"/>
    <w:rsid w:val="00E31A0F"/>
    <w:rsid w:val="00E32391"/>
    <w:rsid w:val="00E32A6E"/>
    <w:rsid w:val="00E332FC"/>
    <w:rsid w:val="00E352B0"/>
    <w:rsid w:val="00E36070"/>
    <w:rsid w:val="00E3620F"/>
    <w:rsid w:val="00E36EA0"/>
    <w:rsid w:val="00E37ABD"/>
    <w:rsid w:val="00E41261"/>
    <w:rsid w:val="00E422EA"/>
    <w:rsid w:val="00E4268B"/>
    <w:rsid w:val="00E4585E"/>
    <w:rsid w:val="00E46A84"/>
    <w:rsid w:val="00E46E9A"/>
    <w:rsid w:val="00E47EB7"/>
    <w:rsid w:val="00E50085"/>
    <w:rsid w:val="00E50E8E"/>
    <w:rsid w:val="00E5166A"/>
    <w:rsid w:val="00E51E83"/>
    <w:rsid w:val="00E52651"/>
    <w:rsid w:val="00E54AB9"/>
    <w:rsid w:val="00E56788"/>
    <w:rsid w:val="00E57AAB"/>
    <w:rsid w:val="00E62957"/>
    <w:rsid w:val="00E647CA"/>
    <w:rsid w:val="00E64BDB"/>
    <w:rsid w:val="00E659CB"/>
    <w:rsid w:val="00E66654"/>
    <w:rsid w:val="00E708C9"/>
    <w:rsid w:val="00E710A5"/>
    <w:rsid w:val="00E71AD8"/>
    <w:rsid w:val="00E74ABB"/>
    <w:rsid w:val="00E80693"/>
    <w:rsid w:val="00E80829"/>
    <w:rsid w:val="00E82AC6"/>
    <w:rsid w:val="00E8448F"/>
    <w:rsid w:val="00E86B46"/>
    <w:rsid w:val="00E87E99"/>
    <w:rsid w:val="00E902CF"/>
    <w:rsid w:val="00E90E40"/>
    <w:rsid w:val="00E9178A"/>
    <w:rsid w:val="00E94B4D"/>
    <w:rsid w:val="00E94D7C"/>
    <w:rsid w:val="00E9570E"/>
    <w:rsid w:val="00E96C47"/>
    <w:rsid w:val="00E97FDC"/>
    <w:rsid w:val="00EA0649"/>
    <w:rsid w:val="00EA3A10"/>
    <w:rsid w:val="00EA4C43"/>
    <w:rsid w:val="00EA66ED"/>
    <w:rsid w:val="00EA7388"/>
    <w:rsid w:val="00EA7D2E"/>
    <w:rsid w:val="00EB065A"/>
    <w:rsid w:val="00EB1C6C"/>
    <w:rsid w:val="00EB233B"/>
    <w:rsid w:val="00EB30A0"/>
    <w:rsid w:val="00EB3506"/>
    <w:rsid w:val="00EB47B3"/>
    <w:rsid w:val="00EB6D28"/>
    <w:rsid w:val="00EB73A8"/>
    <w:rsid w:val="00EC017E"/>
    <w:rsid w:val="00EC197F"/>
    <w:rsid w:val="00EC1C01"/>
    <w:rsid w:val="00EC1DEA"/>
    <w:rsid w:val="00EC32B2"/>
    <w:rsid w:val="00EC337F"/>
    <w:rsid w:val="00EC4540"/>
    <w:rsid w:val="00EC46F3"/>
    <w:rsid w:val="00EC5243"/>
    <w:rsid w:val="00EC5474"/>
    <w:rsid w:val="00EC5980"/>
    <w:rsid w:val="00EC5AFD"/>
    <w:rsid w:val="00EC70A3"/>
    <w:rsid w:val="00ED1829"/>
    <w:rsid w:val="00ED1C5E"/>
    <w:rsid w:val="00ED3225"/>
    <w:rsid w:val="00ED4D21"/>
    <w:rsid w:val="00ED54C9"/>
    <w:rsid w:val="00EE03DD"/>
    <w:rsid w:val="00EE18DC"/>
    <w:rsid w:val="00EE56A6"/>
    <w:rsid w:val="00EE57B4"/>
    <w:rsid w:val="00EE5817"/>
    <w:rsid w:val="00EE5EDB"/>
    <w:rsid w:val="00EE6346"/>
    <w:rsid w:val="00EE6E0E"/>
    <w:rsid w:val="00EE6F4D"/>
    <w:rsid w:val="00EE7170"/>
    <w:rsid w:val="00EF00DB"/>
    <w:rsid w:val="00EF161F"/>
    <w:rsid w:val="00EF4571"/>
    <w:rsid w:val="00EF4A4F"/>
    <w:rsid w:val="00EF542A"/>
    <w:rsid w:val="00F01807"/>
    <w:rsid w:val="00F036B2"/>
    <w:rsid w:val="00F04688"/>
    <w:rsid w:val="00F05A1E"/>
    <w:rsid w:val="00F06597"/>
    <w:rsid w:val="00F0763F"/>
    <w:rsid w:val="00F1023B"/>
    <w:rsid w:val="00F121C9"/>
    <w:rsid w:val="00F12B29"/>
    <w:rsid w:val="00F1514E"/>
    <w:rsid w:val="00F15341"/>
    <w:rsid w:val="00F15790"/>
    <w:rsid w:val="00F172B2"/>
    <w:rsid w:val="00F17327"/>
    <w:rsid w:val="00F17677"/>
    <w:rsid w:val="00F17FDD"/>
    <w:rsid w:val="00F20398"/>
    <w:rsid w:val="00F2088A"/>
    <w:rsid w:val="00F221E2"/>
    <w:rsid w:val="00F2290B"/>
    <w:rsid w:val="00F22AA5"/>
    <w:rsid w:val="00F240D8"/>
    <w:rsid w:val="00F24E8E"/>
    <w:rsid w:val="00F26C24"/>
    <w:rsid w:val="00F27B6D"/>
    <w:rsid w:val="00F309B5"/>
    <w:rsid w:val="00F30B9B"/>
    <w:rsid w:val="00F31056"/>
    <w:rsid w:val="00F31628"/>
    <w:rsid w:val="00F326AC"/>
    <w:rsid w:val="00F3326F"/>
    <w:rsid w:val="00F337B4"/>
    <w:rsid w:val="00F33D5E"/>
    <w:rsid w:val="00F36682"/>
    <w:rsid w:val="00F36BB4"/>
    <w:rsid w:val="00F404C0"/>
    <w:rsid w:val="00F40539"/>
    <w:rsid w:val="00F4144E"/>
    <w:rsid w:val="00F41900"/>
    <w:rsid w:val="00F41E0E"/>
    <w:rsid w:val="00F422FD"/>
    <w:rsid w:val="00F44F4E"/>
    <w:rsid w:val="00F455C0"/>
    <w:rsid w:val="00F47E76"/>
    <w:rsid w:val="00F5114C"/>
    <w:rsid w:val="00F54D2C"/>
    <w:rsid w:val="00F575CB"/>
    <w:rsid w:val="00F57EDC"/>
    <w:rsid w:val="00F6099C"/>
    <w:rsid w:val="00F6121B"/>
    <w:rsid w:val="00F62024"/>
    <w:rsid w:val="00F62653"/>
    <w:rsid w:val="00F64770"/>
    <w:rsid w:val="00F64BC8"/>
    <w:rsid w:val="00F6687C"/>
    <w:rsid w:val="00F66DC1"/>
    <w:rsid w:val="00F6717E"/>
    <w:rsid w:val="00F67513"/>
    <w:rsid w:val="00F722D5"/>
    <w:rsid w:val="00F73C18"/>
    <w:rsid w:val="00F75079"/>
    <w:rsid w:val="00F760A6"/>
    <w:rsid w:val="00F76A56"/>
    <w:rsid w:val="00F7727C"/>
    <w:rsid w:val="00F77DFE"/>
    <w:rsid w:val="00F81EF6"/>
    <w:rsid w:val="00F86868"/>
    <w:rsid w:val="00F86AC4"/>
    <w:rsid w:val="00F8740B"/>
    <w:rsid w:val="00F87EA2"/>
    <w:rsid w:val="00F91709"/>
    <w:rsid w:val="00F91A32"/>
    <w:rsid w:val="00F93A24"/>
    <w:rsid w:val="00F93BD9"/>
    <w:rsid w:val="00F9612E"/>
    <w:rsid w:val="00F97C67"/>
    <w:rsid w:val="00FA1888"/>
    <w:rsid w:val="00FA1B50"/>
    <w:rsid w:val="00FA1BB4"/>
    <w:rsid w:val="00FA26F1"/>
    <w:rsid w:val="00FA4738"/>
    <w:rsid w:val="00FA5F04"/>
    <w:rsid w:val="00FA6B4F"/>
    <w:rsid w:val="00FA6CF2"/>
    <w:rsid w:val="00FA6D81"/>
    <w:rsid w:val="00FB1A18"/>
    <w:rsid w:val="00FB4B66"/>
    <w:rsid w:val="00FB564D"/>
    <w:rsid w:val="00FB715E"/>
    <w:rsid w:val="00FC10F6"/>
    <w:rsid w:val="00FC20AB"/>
    <w:rsid w:val="00FC25BE"/>
    <w:rsid w:val="00FC25D3"/>
    <w:rsid w:val="00FC2A47"/>
    <w:rsid w:val="00FC58A2"/>
    <w:rsid w:val="00FC5C16"/>
    <w:rsid w:val="00FC7359"/>
    <w:rsid w:val="00FC7AE8"/>
    <w:rsid w:val="00FD009F"/>
    <w:rsid w:val="00FD08E1"/>
    <w:rsid w:val="00FD09EB"/>
    <w:rsid w:val="00FD0B58"/>
    <w:rsid w:val="00FD1356"/>
    <w:rsid w:val="00FD2310"/>
    <w:rsid w:val="00FD2495"/>
    <w:rsid w:val="00FD372B"/>
    <w:rsid w:val="00FD3BAC"/>
    <w:rsid w:val="00FD3CF2"/>
    <w:rsid w:val="00FD4FC0"/>
    <w:rsid w:val="00FD64E4"/>
    <w:rsid w:val="00FD67FF"/>
    <w:rsid w:val="00FD7428"/>
    <w:rsid w:val="00FE05C6"/>
    <w:rsid w:val="00FE0956"/>
    <w:rsid w:val="00FE27B7"/>
    <w:rsid w:val="00FE39FF"/>
    <w:rsid w:val="00FF03CD"/>
    <w:rsid w:val="00FF31C8"/>
    <w:rsid w:val="00FF3DE6"/>
    <w:rsid w:val="00FF3EEA"/>
    <w:rsid w:val="00FF40D3"/>
    <w:rsid w:val="00FF4944"/>
    <w:rsid w:val="00FF599C"/>
    <w:rsid w:val="00FF630B"/>
    <w:rsid w:val="00FF74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B453"/>
  <w15:docId w15:val="{1E0851CD-1C59-42AE-B655-4C99F865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A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130B"/>
    <w:pPr>
      <w:ind w:left="720"/>
      <w:contextualSpacing/>
    </w:pPr>
  </w:style>
  <w:style w:type="character" w:styleId="Hipervnculo">
    <w:name w:val="Hyperlink"/>
    <w:basedOn w:val="Fuentedeprrafopredeter"/>
    <w:uiPriority w:val="99"/>
    <w:rsid w:val="00676AA6"/>
    <w:rPr>
      <w:rFonts w:cs="Times New Roman"/>
      <w:color w:val="0000FF"/>
      <w:u w:val="single"/>
    </w:rPr>
  </w:style>
  <w:style w:type="paragraph" w:customStyle="1" w:styleId="Default">
    <w:name w:val="Default"/>
    <w:uiPriority w:val="99"/>
    <w:rsid w:val="00676AA6"/>
    <w:pPr>
      <w:autoSpaceDE w:val="0"/>
      <w:autoSpaceDN w:val="0"/>
      <w:adjustRightInd w:val="0"/>
      <w:spacing w:after="0" w:line="240" w:lineRule="auto"/>
    </w:pPr>
    <w:rPr>
      <w:rFonts w:ascii="Houschka Head Light" w:eastAsia="Calibri" w:hAnsi="Houschka Head Light" w:cs="Houschka Head Light"/>
      <w:color w:val="000000"/>
      <w:sz w:val="24"/>
      <w:szCs w:val="24"/>
    </w:rPr>
  </w:style>
  <w:style w:type="paragraph" w:styleId="Encabezado">
    <w:name w:val="header"/>
    <w:basedOn w:val="Normal"/>
    <w:link w:val="EncabezadoCar"/>
    <w:uiPriority w:val="99"/>
    <w:semiHidden/>
    <w:unhideWhenUsed/>
    <w:rsid w:val="006F60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F6090"/>
  </w:style>
  <w:style w:type="paragraph" w:styleId="Piedepgina">
    <w:name w:val="footer"/>
    <w:basedOn w:val="Normal"/>
    <w:link w:val="PiedepginaCar"/>
    <w:uiPriority w:val="99"/>
    <w:unhideWhenUsed/>
    <w:rsid w:val="006F60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6090"/>
  </w:style>
  <w:style w:type="paragraph" w:styleId="Textodeglobo">
    <w:name w:val="Balloon Text"/>
    <w:basedOn w:val="Normal"/>
    <w:link w:val="TextodegloboCar"/>
    <w:uiPriority w:val="99"/>
    <w:semiHidden/>
    <w:unhideWhenUsed/>
    <w:rsid w:val="008542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17597">
      <w:bodyDiv w:val="1"/>
      <w:marLeft w:val="0"/>
      <w:marRight w:val="0"/>
      <w:marTop w:val="0"/>
      <w:marBottom w:val="0"/>
      <w:divBdr>
        <w:top w:val="none" w:sz="0" w:space="0" w:color="auto"/>
        <w:left w:val="none" w:sz="0" w:space="0" w:color="auto"/>
        <w:bottom w:val="none" w:sz="0" w:space="0" w:color="auto"/>
        <w:right w:val="none" w:sz="0" w:space="0" w:color="auto"/>
      </w:divBdr>
    </w:div>
    <w:div w:id="448281520">
      <w:bodyDiv w:val="1"/>
      <w:marLeft w:val="0"/>
      <w:marRight w:val="0"/>
      <w:marTop w:val="0"/>
      <w:marBottom w:val="0"/>
      <w:divBdr>
        <w:top w:val="none" w:sz="0" w:space="0" w:color="auto"/>
        <w:left w:val="none" w:sz="0" w:space="0" w:color="auto"/>
        <w:bottom w:val="none" w:sz="0" w:space="0" w:color="auto"/>
        <w:right w:val="none" w:sz="0" w:space="0" w:color="auto"/>
      </w:divBdr>
    </w:div>
    <w:div w:id="15368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hyperlink" Target="https://twitter.com/fund_ad"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g"/><Relationship Id="rId12" Type="http://schemas.openxmlformats.org/officeDocument/2006/relationships/chart" Target="charts/chart4.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pages/Fundacion-Adecco/344832912281662?fre" TargetMode="External"/><Relationship Id="rId20" Type="http://schemas.openxmlformats.org/officeDocument/2006/relationships/hyperlink" Target="http://www.youtube.com/fundacion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mailto:irene.gil@adecco.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rene.gil\Documents\Ndp\2019\junio\absentismo.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rene.gil\Documents\Ndp\2019\junio\absentismo.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rene.gil\Downloads\35926223.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rene.gil\Documents\Ndp\2019\junio\GR&#193;FICOS%20CONTRATACI&#211;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irene.gil\Downloads\36005584.xls"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irene.gil\Downloads\35926224%20(1).xls"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ES" b="1"/>
              <a:t>Evolución</a:t>
            </a:r>
            <a:r>
              <a:rPr lang="es-ES" b="1" baseline="0"/>
              <a:t> número desempleados por edad</a:t>
            </a:r>
            <a:endParaRPr lang="es-E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bar"/>
        <c:grouping val="clustered"/>
        <c:varyColors val="0"/>
        <c:ser>
          <c:idx val="0"/>
          <c:order val="0"/>
          <c:tx>
            <c:strRef>
              <c:f>INTRODUCCIÓN!$N$11</c:f>
              <c:strCache>
                <c:ptCount val="1"/>
                <c:pt idx="0">
                  <c:v>2018T4</c:v>
                </c:pt>
              </c:strCache>
            </c:strRef>
          </c:tx>
          <c:spPr>
            <a:solidFill>
              <a:schemeClr val="bg1">
                <a:lumMod val="75000"/>
              </a:schemeClr>
            </a:solidFill>
            <a:ln>
              <a:noFill/>
            </a:ln>
            <a:effectLst/>
          </c:spPr>
          <c:invertIfNegative val="0"/>
          <c:dLbls>
            <c:dLbl>
              <c:idx val="10"/>
              <c:layout>
                <c:manualLayout>
                  <c:x val="6.8143100511073255E-3"/>
                  <c:y val="1.34171854601024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E8-4F29-8306-1A3BB43C998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INTRODUCCIÓN!$M$12:$M$22</c:f>
              <c:strCache>
                <c:ptCount val="11"/>
                <c:pt idx="0">
                  <c:v>De 16 a 19 años</c:v>
                </c:pt>
                <c:pt idx="1">
                  <c:v>De 20 a 24 años</c:v>
                </c:pt>
                <c:pt idx="2">
                  <c:v>De 25 a 29 años</c:v>
                </c:pt>
                <c:pt idx="3">
                  <c:v>De 30 a 34 años</c:v>
                </c:pt>
                <c:pt idx="4">
                  <c:v>De 35 a 39 años</c:v>
                </c:pt>
                <c:pt idx="5">
                  <c:v>De 40 a 44 años</c:v>
                </c:pt>
                <c:pt idx="6">
                  <c:v>De 45 a 49 años</c:v>
                </c:pt>
                <c:pt idx="7">
                  <c:v>De 50 a 54 años</c:v>
                </c:pt>
                <c:pt idx="8">
                  <c:v>De 55 a 59 años</c:v>
                </c:pt>
                <c:pt idx="9">
                  <c:v>De 60 a 64 años</c:v>
                </c:pt>
                <c:pt idx="10">
                  <c:v>De 65 a 69 años</c:v>
                </c:pt>
              </c:strCache>
            </c:strRef>
          </c:cat>
          <c:val>
            <c:numRef>
              <c:f>INTRODUCCIÓN!$N$12:$N$22</c:f>
              <c:numCache>
                <c:formatCode>#,##0.0</c:formatCode>
                <c:ptCount val="11"/>
                <c:pt idx="0">
                  <c:v>120.1</c:v>
                </c:pt>
                <c:pt idx="1">
                  <c:v>382.8</c:v>
                </c:pt>
                <c:pt idx="2">
                  <c:v>399.5</c:v>
                </c:pt>
                <c:pt idx="3">
                  <c:v>365.4</c:v>
                </c:pt>
                <c:pt idx="4">
                  <c:v>376.5</c:v>
                </c:pt>
                <c:pt idx="5">
                  <c:v>400.9</c:v>
                </c:pt>
                <c:pt idx="6">
                  <c:v>379.4</c:v>
                </c:pt>
                <c:pt idx="7">
                  <c:v>382.1</c:v>
                </c:pt>
                <c:pt idx="8">
                  <c:v>312.7</c:v>
                </c:pt>
                <c:pt idx="9">
                  <c:v>175</c:v>
                </c:pt>
                <c:pt idx="10">
                  <c:v>9.5</c:v>
                </c:pt>
              </c:numCache>
            </c:numRef>
          </c:val>
          <c:extLst>
            <c:ext xmlns:c16="http://schemas.microsoft.com/office/drawing/2014/chart" uri="{C3380CC4-5D6E-409C-BE32-E72D297353CC}">
              <c16:uniqueId val="{00000001-30E8-4F29-8306-1A3BB43C9984}"/>
            </c:ext>
          </c:extLst>
        </c:ser>
        <c:ser>
          <c:idx val="1"/>
          <c:order val="1"/>
          <c:tx>
            <c:strRef>
              <c:f>INTRODUCCIÓN!$O$11</c:f>
              <c:strCache>
                <c:ptCount val="1"/>
                <c:pt idx="0">
                  <c:v>2017T4</c:v>
                </c:pt>
              </c:strCache>
            </c:strRef>
          </c:tx>
          <c:spPr>
            <a:solidFill>
              <a:srgbClr val="5CB8B2"/>
            </a:solidFill>
            <a:ln>
              <a:noFill/>
            </a:ln>
            <a:effectLst/>
          </c:spPr>
          <c:invertIfNegative val="0"/>
          <c:dLbls>
            <c:dLbl>
              <c:idx val="9"/>
              <c:layout>
                <c:manualLayout>
                  <c:x val="-6.8143100511073255E-3"/>
                  <c:y val="-2.01257781901537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E8-4F29-8306-1A3BB43C998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INTRODUCCIÓN!$M$12:$M$22</c:f>
              <c:strCache>
                <c:ptCount val="11"/>
                <c:pt idx="0">
                  <c:v>De 16 a 19 años</c:v>
                </c:pt>
                <c:pt idx="1">
                  <c:v>De 20 a 24 años</c:v>
                </c:pt>
                <c:pt idx="2">
                  <c:v>De 25 a 29 años</c:v>
                </c:pt>
                <c:pt idx="3">
                  <c:v>De 30 a 34 años</c:v>
                </c:pt>
                <c:pt idx="4">
                  <c:v>De 35 a 39 años</c:v>
                </c:pt>
                <c:pt idx="5">
                  <c:v>De 40 a 44 años</c:v>
                </c:pt>
                <c:pt idx="6">
                  <c:v>De 45 a 49 años</c:v>
                </c:pt>
                <c:pt idx="7">
                  <c:v>De 50 a 54 años</c:v>
                </c:pt>
                <c:pt idx="8">
                  <c:v>De 55 a 59 años</c:v>
                </c:pt>
                <c:pt idx="9">
                  <c:v>De 60 a 64 años</c:v>
                </c:pt>
                <c:pt idx="10">
                  <c:v>De 65 a 69 años</c:v>
                </c:pt>
              </c:strCache>
            </c:strRef>
          </c:cat>
          <c:val>
            <c:numRef>
              <c:f>INTRODUCCIÓN!$O$12:$O$22</c:f>
              <c:numCache>
                <c:formatCode>#,##0.0</c:formatCode>
                <c:ptCount val="11"/>
                <c:pt idx="0">
                  <c:v>140.19999999999999</c:v>
                </c:pt>
                <c:pt idx="1">
                  <c:v>418</c:v>
                </c:pt>
                <c:pt idx="2">
                  <c:v>456.2</c:v>
                </c:pt>
                <c:pt idx="3">
                  <c:v>423.7</c:v>
                </c:pt>
                <c:pt idx="4">
                  <c:v>446.9</c:v>
                </c:pt>
                <c:pt idx="5">
                  <c:v>463.5</c:v>
                </c:pt>
                <c:pt idx="6">
                  <c:v>460.8</c:v>
                </c:pt>
                <c:pt idx="7">
                  <c:v>424.7</c:v>
                </c:pt>
                <c:pt idx="8">
                  <c:v>354</c:v>
                </c:pt>
                <c:pt idx="9">
                  <c:v>170.4</c:v>
                </c:pt>
                <c:pt idx="10">
                  <c:v>7.3</c:v>
                </c:pt>
              </c:numCache>
            </c:numRef>
          </c:val>
          <c:extLst>
            <c:ext xmlns:c16="http://schemas.microsoft.com/office/drawing/2014/chart" uri="{C3380CC4-5D6E-409C-BE32-E72D297353CC}">
              <c16:uniqueId val="{00000003-30E8-4F29-8306-1A3BB43C9984}"/>
            </c:ext>
          </c:extLst>
        </c:ser>
        <c:dLbls>
          <c:showLegendKey val="0"/>
          <c:showVal val="0"/>
          <c:showCatName val="0"/>
          <c:showSerName val="0"/>
          <c:showPercent val="0"/>
          <c:showBubbleSize val="0"/>
        </c:dLbls>
        <c:gapWidth val="182"/>
        <c:axId val="396227032"/>
        <c:axId val="396223424"/>
      </c:barChart>
      <c:catAx>
        <c:axId val="396227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96223424"/>
        <c:crosses val="autoZero"/>
        <c:auto val="1"/>
        <c:lblAlgn val="ctr"/>
        <c:lblOffset val="100"/>
        <c:noMultiLvlLbl val="0"/>
      </c:catAx>
      <c:valAx>
        <c:axId val="39622342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96227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ES" b="1"/>
              <a:t>Proporción</a:t>
            </a:r>
            <a:r>
              <a:rPr lang="es-ES" b="1" baseline="0"/>
              <a:t> desempleados mayores de 55 años</a:t>
            </a:r>
            <a:endParaRPr lang="es-E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stacked"/>
        <c:varyColors val="0"/>
        <c:ser>
          <c:idx val="0"/>
          <c:order val="0"/>
          <c:tx>
            <c:strRef>
              <c:f>Hoja1!$E$10</c:f>
              <c:strCache>
                <c:ptCount val="1"/>
                <c:pt idx="0">
                  <c:v>Mayores de 55 años</c:v>
                </c:pt>
              </c:strCache>
            </c:strRef>
          </c:tx>
          <c:spPr>
            <a:solidFill>
              <a:srgbClr val="5CB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Hoja1!$F$9:$G$9</c:f>
              <c:strCache>
                <c:ptCount val="2"/>
                <c:pt idx="0">
                  <c:v>Año 2008</c:v>
                </c:pt>
                <c:pt idx="1">
                  <c:v>Año 2018</c:v>
                </c:pt>
              </c:strCache>
            </c:strRef>
          </c:cat>
          <c:val>
            <c:numRef>
              <c:f>Hoja1!$F$10:$G$10</c:f>
              <c:numCache>
                <c:formatCode>0%</c:formatCode>
                <c:ptCount val="2"/>
                <c:pt idx="0">
                  <c:v>7.0000000000000007E-2</c:v>
                </c:pt>
                <c:pt idx="1">
                  <c:v>0.15</c:v>
                </c:pt>
              </c:numCache>
            </c:numRef>
          </c:val>
          <c:extLst>
            <c:ext xmlns:c16="http://schemas.microsoft.com/office/drawing/2014/chart" uri="{C3380CC4-5D6E-409C-BE32-E72D297353CC}">
              <c16:uniqueId val="{00000000-FBC5-4063-B5F9-C0B93A253D00}"/>
            </c:ext>
          </c:extLst>
        </c:ser>
        <c:ser>
          <c:idx val="1"/>
          <c:order val="1"/>
          <c:tx>
            <c:strRef>
              <c:f>Hoja1!$E$11</c:f>
              <c:strCache>
                <c:ptCount val="1"/>
                <c:pt idx="0">
                  <c:v>Resto desempleados</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Hoja1!$F$9:$G$9</c:f>
              <c:strCache>
                <c:ptCount val="2"/>
                <c:pt idx="0">
                  <c:v>Año 2008</c:v>
                </c:pt>
                <c:pt idx="1">
                  <c:v>Año 2018</c:v>
                </c:pt>
              </c:strCache>
            </c:strRef>
          </c:cat>
          <c:val>
            <c:numRef>
              <c:f>Hoja1!$F$11:$G$11</c:f>
              <c:numCache>
                <c:formatCode>0%</c:formatCode>
                <c:ptCount val="2"/>
                <c:pt idx="0">
                  <c:v>0.93</c:v>
                </c:pt>
                <c:pt idx="1">
                  <c:v>0.85</c:v>
                </c:pt>
              </c:numCache>
            </c:numRef>
          </c:val>
          <c:extLst>
            <c:ext xmlns:c16="http://schemas.microsoft.com/office/drawing/2014/chart" uri="{C3380CC4-5D6E-409C-BE32-E72D297353CC}">
              <c16:uniqueId val="{00000001-FBC5-4063-B5F9-C0B93A253D00}"/>
            </c:ext>
          </c:extLst>
        </c:ser>
        <c:dLbls>
          <c:showLegendKey val="0"/>
          <c:showVal val="0"/>
          <c:showCatName val="0"/>
          <c:showSerName val="0"/>
          <c:showPercent val="0"/>
          <c:showBubbleSize val="0"/>
        </c:dLbls>
        <c:gapWidth val="150"/>
        <c:overlap val="100"/>
        <c:axId val="406225816"/>
        <c:axId val="406223848"/>
      </c:barChart>
      <c:catAx>
        <c:axId val="406225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06223848"/>
        <c:crosses val="autoZero"/>
        <c:auto val="1"/>
        <c:lblAlgn val="ctr"/>
        <c:lblOffset val="100"/>
        <c:noMultiLvlLbl val="0"/>
      </c:catAx>
      <c:valAx>
        <c:axId val="406223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06225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ES" b="1"/>
              <a:t>¿Cuánto</a:t>
            </a:r>
            <a:r>
              <a:rPr lang="es-ES" b="1" baseline="0"/>
              <a:t> tiempo lleva en paro?</a:t>
            </a:r>
            <a:endParaRPr lang="es-E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bar"/>
        <c:grouping val="clustered"/>
        <c:varyColors val="0"/>
        <c:ser>
          <c:idx val="0"/>
          <c:order val="0"/>
          <c:spPr>
            <a:solidFill>
              <a:srgbClr val="5CB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'[35926223.xls]Datos'!$I$3:$I$9</c:f>
              <c:strCache>
                <c:ptCount val="7"/>
                <c:pt idx="0">
                  <c:v>Menos de 1 mes</c:v>
                </c:pt>
                <c:pt idx="1">
                  <c:v>De 1 a 3 meses</c:v>
                </c:pt>
                <c:pt idx="2">
                  <c:v>De 4 a 6 meses</c:v>
                </c:pt>
                <c:pt idx="3">
                  <c:v>De 7 meses a 1 año</c:v>
                </c:pt>
                <c:pt idx="4">
                  <c:v>De 1 a 2 años</c:v>
                </c:pt>
                <c:pt idx="5">
                  <c:v>Más de 2 años</c:v>
                </c:pt>
                <c:pt idx="6">
                  <c:v>Más de 4 años</c:v>
                </c:pt>
              </c:strCache>
            </c:strRef>
          </c:cat>
          <c:val>
            <c:numRef>
              <c:f>'[35926223.xls]Datos'!$J$3:$J$9</c:f>
              <c:numCache>
                <c:formatCode>0.0%</c:formatCode>
                <c:ptCount val="7"/>
                <c:pt idx="0">
                  <c:v>4.3715846994535519E-2</c:v>
                </c:pt>
                <c:pt idx="1">
                  <c:v>0.11202185792349727</c:v>
                </c:pt>
                <c:pt idx="2">
                  <c:v>0.12</c:v>
                </c:pt>
                <c:pt idx="3">
                  <c:v>0.10928961748633879</c:v>
                </c:pt>
                <c:pt idx="4">
                  <c:v>7.0000000000000007E-2</c:v>
                </c:pt>
                <c:pt idx="5">
                  <c:v>0.11202185792349727</c:v>
                </c:pt>
                <c:pt idx="6">
                  <c:v>0.43</c:v>
                </c:pt>
              </c:numCache>
            </c:numRef>
          </c:val>
          <c:extLst>
            <c:ext xmlns:c16="http://schemas.microsoft.com/office/drawing/2014/chart" uri="{C3380CC4-5D6E-409C-BE32-E72D297353CC}">
              <c16:uniqueId val="{00000000-C56F-48B0-8947-B5878F2637F7}"/>
            </c:ext>
          </c:extLst>
        </c:ser>
        <c:dLbls>
          <c:showLegendKey val="0"/>
          <c:showVal val="0"/>
          <c:showCatName val="0"/>
          <c:showSerName val="0"/>
          <c:showPercent val="0"/>
          <c:showBubbleSize val="0"/>
        </c:dLbls>
        <c:gapWidth val="182"/>
        <c:axId val="388321528"/>
        <c:axId val="388322512"/>
      </c:barChart>
      <c:catAx>
        <c:axId val="388321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88322512"/>
        <c:crosses val="autoZero"/>
        <c:auto val="1"/>
        <c:lblAlgn val="ctr"/>
        <c:lblOffset val="100"/>
        <c:noMultiLvlLbl val="0"/>
      </c:catAx>
      <c:valAx>
        <c:axId val="38832251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88321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900" b="1">
                <a:latin typeface="Arial" panose="020B0604020202020204" pitchFamily="34" charset="0"/>
                <a:cs typeface="Arial" panose="020B0604020202020204" pitchFamily="34" charset="0"/>
              </a:rPr>
              <a:t>¿Por</a:t>
            </a:r>
            <a:r>
              <a:rPr lang="es-ES" sz="900" b="1" baseline="0">
                <a:latin typeface="Arial" panose="020B0604020202020204" pitchFamily="34" charset="0"/>
                <a:cs typeface="Arial" panose="020B0604020202020204" pitchFamily="34" charset="0"/>
              </a:rPr>
              <a:t> qué no ha selccionado a ningún senior? </a:t>
            </a:r>
            <a:endParaRPr lang="es-ES" sz="900" b="1">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10292692748741733"/>
          <c:y val="0.27899693797230879"/>
          <c:w val="0.32465751561617334"/>
          <c:h val="0.5163520930890183"/>
        </c:manualLayout>
      </c:layout>
      <c:pieChart>
        <c:varyColors val="1"/>
        <c:ser>
          <c:idx val="0"/>
          <c:order val="0"/>
          <c:dPt>
            <c:idx val="0"/>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1-6551-4F6B-B953-B558E801C8AC}"/>
              </c:ext>
            </c:extLst>
          </c:dPt>
          <c:dPt>
            <c:idx val="1"/>
            <c:bubble3D val="0"/>
            <c:spPr>
              <a:solidFill>
                <a:srgbClr val="5CB8B2"/>
              </a:solidFill>
              <a:ln w="19050">
                <a:solidFill>
                  <a:schemeClr val="lt1"/>
                </a:solidFill>
              </a:ln>
              <a:effectLst/>
            </c:spPr>
            <c:extLst>
              <c:ext xmlns:c16="http://schemas.microsoft.com/office/drawing/2014/chart" uri="{C3380CC4-5D6E-409C-BE32-E72D297353CC}">
                <c16:uniqueId val="{00000003-6551-4F6B-B953-B558E801C8A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551-4F6B-B953-B558E801C8A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Hoja1!$D$19:$D$21</c:f>
              <c:strCache>
                <c:ptCount val="3"/>
                <c:pt idx="0">
                  <c:v>Su edad me genera dudas en cuanto al desempeño y adaptación</c:v>
                </c:pt>
                <c:pt idx="1">
                  <c:v>No he recibido candidaturas de este grupo de edad</c:v>
                </c:pt>
                <c:pt idx="2">
                  <c:v>Otros motivos</c:v>
                </c:pt>
              </c:strCache>
            </c:strRef>
          </c:cat>
          <c:val>
            <c:numRef>
              <c:f>Hoja1!$E$19:$E$21</c:f>
              <c:numCache>
                <c:formatCode>0%</c:formatCode>
                <c:ptCount val="3"/>
                <c:pt idx="0">
                  <c:v>0.4</c:v>
                </c:pt>
                <c:pt idx="1">
                  <c:v>0.45</c:v>
                </c:pt>
                <c:pt idx="2">
                  <c:v>0.05</c:v>
                </c:pt>
              </c:numCache>
            </c:numRef>
          </c:val>
          <c:extLst>
            <c:ext xmlns:c16="http://schemas.microsoft.com/office/drawing/2014/chart" uri="{C3380CC4-5D6E-409C-BE32-E72D297353CC}">
              <c16:uniqueId val="{00000006-6551-4F6B-B953-B558E801C8AC}"/>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49709653163052248"/>
          <c:y val="0.18556185658139882"/>
          <c:w val="0.4958037797324325"/>
          <c:h val="0.814437892937801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 sz="900" b="1">
                <a:latin typeface="Arial" panose="020B0604020202020204" pitchFamily="34" charset="0"/>
                <a:cs typeface="Arial" panose="020B0604020202020204" pitchFamily="34" charset="0"/>
              </a:rPr>
              <a:t>¿Ha</a:t>
            </a:r>
            <a:r>
              <a:rPr lang="es-ES" sz="900" b="1" baseline="0">
                <a:latin typeface="Arial" panose="020B0604020202020204" pitchFamily="34" charset="0"/>
                <a:cs typeface="Arial" panose="020B0604020202020204" pitchFamily="34" charset="0"/>
              </a:rPr>
              <a:t> seleccionado a algún profesional mayor de 55 años durante el último año?</a:t>
            </a:r>
            <a:endParaRPr lang="es-ES" sz="900" b="1">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title>
    <c:autoTitleDeleted val="0"/>
    <c:plotArea>
      <c:layout>
        <c:manualLayout>
          <c:layoutTarget val="inner"/>
          <c:xMode val="edge"/>
          <c:yMode val="edge"/>
          <c:x val="0.23462393008080354"/>
          <c:y val="0.30307335208498015"/>
          <c:w val="0.32239765069141746"/>
          <c:h val="0.48880012736967654"/>
        </c:manualLayout>
      </c:layout>
      <c:pieChart>
        <c:varyColors val="1"/>
        <c:ser>
          <c:idx val="0"/>
          <c:order val="0"/>
          <c:dPt>
            <c:idx val="0"/>
            <c:bubble3D val="0"/>
            <c:spPr>
              <a:solidFill>
                <a:srgbClr val="5CB8B2"/>
              </a:solidFill>
              <a:ln w="19050">
                <a:solidFill>
                  <a:schemeClr val="lt1"/>
                </a:solidFill>
              </a:ln>
              <a:effectLst/>
            </c:spPr>
            <c:extLst>
              <c:ext xmlns:c16="http://schemas.microsoft.com/office/drawing/2014/chart" uri="{C3380CC4-5D6E-409C-BE32-E72D297353CC}">
                <c16:uniqueId val="{00000001-F1DA-4A56-823B-691D2E40617B}"/>
              </c:ext>
            </c:extLst>
          </c:dPt>
          <c:dPt>
            <c:idx val="1"/>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3-F1DA-4A56-823B-691D2E40617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Hoja1!$D$6:$D$7</c:f>
              <c:strCache>
                <c:ptCount val="2"/>
                <c:pt idx="0">
                  <c:v>Sí</c:v>
                </c:pt>
                <c:pt idx="1">
                  <c:v>No</c:v>
                </c:pt>
              </c:strCache>
            </c:strRef>
          </c:cat>
          <c:val>
            <c:numRef>
              <c:f>Hoja1!$E$6:$E$7</c:f>
              <c:numCache>
                <c:formatCode>0%</c:formatCode>
                <c:ptCount val="2"/>
                <c:pt idx="0">
                  <c:v>0.17</c:v>
                </c:pt>
                <c:pt idx="1">
                  <c:v>0.83</c:v>
                </c:pt>
              </c:numCache>
            </c:numRef>
          </c:val>
          <c:extLst>
            <c:ext xmlns:c16="http://schemas.microsoft.com/office/drawing/2014/chart" uri="{C3380CC4-5D6E-409C-BE32-E72D297353CC}">
              <c16:uniqueId val="{00000004-F1DA-4A56-823B-691D2E40617B}"/>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 sz="1050" b="1">
                <a:latin typeface="Arial" panose="020B0604020202020204" pitchFamily="34" charset="0"/>
                <a:cs typeface="Arial" panose="020B0604020202020204" pitchFamily="34" charset="0"/>
              </a:rPr>
              <a:t>Creencias</a:t>
            </a:r>
            <a:r>
              <a:rPr lang="es-ES" sz="1050" b="1" baseline="0">
                <a:latin typeface="Arial" panose="020B0604020202020204" pitchFamily="34" charset="0"/>
                <a:cs typeface="Arial" panose="020B0604020202020204" pitchFamily="34" charset="0"/>
              </a:rPr>
              <a:t> sobre los profesionales mayores de 55 años</a:t>
            </a:r>
            <a:endParaRPr lang="es-ES" sz="1050" b="1">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title>
    <c:autoTitleDeleted val="0"/>
    <c:plotArea>
      <c:layout/>
      <c:barChart>
        <c:barDir val="bar"/>
        <c:grouping val="clustered"/>
        <c:varyColors val="0"/>
        <c:ser>
          <c:idx val="0"/>
          <c:order val="0"/>
          <c:tx>
            <c:strRef>
              <c:f>'[36005584.xls]Datos'!$C$2</c:f>
              <c:strCache>
                <c:ptCount val="1"/>
                <c:pt idx="0">
                  <c:v>Verdadero</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'[36005584.xls]Datos'!$B$3:$B$7</c:f>
              <c:strCache>
                <c:ptCount val="5"/>
                <c:pt idx="0">
                  <c:v>Los mayores de 55 años acostumbran a tener desactualizados sus conocimientos y competencias</c:v>
                </c:pt>
                <c:pt idx="1">
                  <c:v>Los mayores de 55 años suelen ser menos flexibles en la adaptación al puesto de trabajo</c:v>
                </c:pt>
                <c:pt idx="2">
                  <c:v>Los mayores de 55 años suelen tener mayores dificultades a la hora de encajar en una plantilla mayoritariamente más joven</c:v>
                </c:pt>
                <c:pt idx="3">
                  <c:v>Los mayores de 55 años exigen trabajos mejor remunerados</c:v>
                </c:pt>
                <c:pt idx="4">
                  <c:v>Los mayores de 55 años pueden presentar mayores tasas de absentismo y rotación, debido al peor estado de salud</c:v>
                </c:pt>
              </c:strCache>
            </c:strRef>
          </c:cat>
          <c:val>
            <c:numRef>
              <c:f>'[36005584.xls]Datos'!$C$3:$C$7</c:f>
              <c:numCache>
                <c:formatCode>0%</c:formatCode>
                <c:ptCount val="5"/>
                <c:pt idx="0">
                  <c:v>0.75</c:v>
                </c:pt>
                <c:pt idx="1">
                  <c:v>0.6</c:v>
                </c:pt>
                <c:pt idx="2">
                  <c:v>0.34</c:v>
                </c:pt>
                <c:pt idx="3">
                  <c:v>0.26</c:v>
                </c:pt>
                <c:pt idx="4">
                  <c:v>0.25</c:v>
                </c:pt>
              </c:numCache>
            </c:numRef>
          </c:val>
          <c:extLst>
            <c:ext xmlns:c16="http://schemas.microsoft.com/office/drawing/2014/chart" uri="{C3380CC4-5D6E-409C-BE32-E72D297353CC}">
              <c16:uniqueId val="{00000000-6AC8-4F84-8828-14F9C7B71B35}"/>
            </c:ext>
          </c:extLst>
        </c:ser>
        <c:ser>
          <c:idx val="1"/>
          <c:order val="1"/>
          <c:tx>
            <c:strRef>
              <c:f>'[36005584.xls]Datos'!$D$2</c:f>
              <c:strCache>
                <c:ptCount val="1"/>
                <c:pt idx="0">
                  <c:v>Falso</c:v>
                </c:pt>
              </c:strCache>
            </c:strRef>
          </c:tx>
          <c:spPr>
            <a:solidFill>
              <a:srgbClr val="5CB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'[36005584.xls]Datos'!$B$3:$B$7</c:f>
              <c:strCache>
                <c:ptCount val="5"/>
                <c:pt idx="0">
                  <c:v>Los mayores de 55 años acostumbran a tener desactualizados sus conocimientos y competencias</c:v>
                </c:pt>
                <c:pt idx="1">
                  <c:v>Los mayores de 55 años suelen ser menos flexibles en la adaptación al puesto de trabajo</c:v>
                </c:pt>
                <c:pt idx="2">
                  <c:v>Los mayores de 55 años suelen tener mayores dificultades a la hora de encajar en una plantilla mayoritariamente más joven</c:v>
                </c:pt>
                <c:pt idx="3">
                  <c:v>Los mayores de 55 años exigen trabajos mejor remunerados</c:v>
                </c:pt>
                <c:pt idx="4">
                  <c:v>Los mayores de 55 años pueden presentar mayores tasas de absentismo y rotación, debido al peor estado de salud</c:v>
                </c:pt>
              </c:strCache>
            </c:strRef>
          </c:cat>
          <c:val>
            <c:numRef>
              <c:f>'[36005584.xls]Datos'!$D$3:$D$7</c:f>
              <c:numCache>
                <c:formatCode>0%</c:formatCode>
                <c:ptCount val="5"/>
                <c:pt idx="0">
                  <c:v>0.25</c:v>
                </c:pt>
                <c:pt idx="1">
                  <c:v>0.4</c:v>
                </c:pt>
                <c:pt idx="2">
                  <c:v>0.66</c:v>
                </c:pt>
                <c:pt idx="3">
                  <c:v>0.85</c:v>
                </c:pt>
                <c:pt idx="4">
                  <c:v>0.75</c:v>
                </c:pt>
              </c:numCache>
            </c:numRef>
          </c:val>
          <c:extLst>
            <c:ext xmlns:c16="http://schemas.microsoft.com/office/drawing/2014/chart" uri="{C3380CC4-5D6E-409C-BE32-E72D297353CC}">
              <c16:uniqueId val="{00000001-6AC8-4F84-8828-14F9C7B71B35}"/>
            </c:ext>
          </c:extLst>
        </c:ser>
        <c:dLbls>
          <c:showLegendKey val="0"/>
          <c:showVal val="0"/>
          <c:showCatName val="0"/>
          <c:showSerName val="0"/>
          <c:showPercent val="0"/>
          <c:showBubbleSize val="0"/>
        </c:dLbls>
        <c:gapWidth val="182"/>
        <c:axId val="313088016"/>
        <c:axId val="313087360"/>
      </c:barChart>
      <c:catAx>
        <c:axId val="313088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13087360"/>
        <c:crosses val="autoZero"/>
        <c:auto val="1"/>
        <c:lblAlgn val="ctr"/>
        <c:lblOffset val="100"/>
        <c:noMultiLvlLbl val="0"/>
      </c:catAx>
      <c:valAx>
        <c:axId val="3130873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13088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 sz="1200" b="1">
                <a:latin typeface="Arial" panose="020B0604020202020204" pitchFamily="34" charset="0"/>
                <a:cs typeface="Arial" panose="020B0604020202020204" pitchFamily="34" charset="0"/>
              </a:rPr>
              <a:t>¿Cuánto</a:t>
            </a:r>
            <a:r>
              <a:rPr lang="es-ES" sz="1200" b="1" baseline="0">
                <a:latin typeface="Arial" panose="020B0604020202020204" pitchFamily="34" charset="0"/>
                <a:cs typeface="Arial" panose="020B0604020202020204" pitchFamily="34" charset="0"/>
              </a:rPr>
              <a:t> tiempo cree que tardará en encontrar empleo?</a:t>
            </a:r>
            <a:endParaRPr lang="es-ES" sz="1200" b="1">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title>
    <c:autoTitleDeleted val="0"/>
    <c:plotArea>
      <c:layout>
        <c:manualLayout>
          <c:layoutTarget val="inner"/>
          <c:xMode val="edge"/>
          <c:yMode val="edge"/>
          <c:x val="0.14228893263342082"/>
          <c:y val="0.26009259259259265"/>
          <c:w val="0.34394444444444444"/>
          <c:h val="0.57324074074074072"/>
        </c:manualLayout>
      </c:layout>
      <c:pieChart>
        <c:varyColors val="1"/>
        <c:ser>
          <c:idx val="0"/>
          <c:order val="0"/>
          <c:dPt>
            <c:idx val="0"/>
            <c:bubble3D val="0"/>
            <c:spPr>
              <a:solidFill>
                <a:schemeClr val="tx1">
                  <a:lumMod val="50000"/>
                  <a:lumOff val="50000"/>
                </a:schemeClr>
              </a:solidFill>
              <a:ln w="19050">
                <a:solidFill>
                  <a:schemeClr val="lt1"/>
                </a:solidFill>
              </a:ln>
              <a:effectLst/>
            </c:spPr>
            <c:extLst>
              <c:ext xmlns:c16="http://schemas.microsoft.com/office/drawing/2014/chart" uri="{C3380CC4-5D6E-409C-BE32-E72D297353CC}">
                <c16:uniqueId val="{00000001-E72E-439A-B9AF-B637237CC82B}"/>
              </c:ext>
            </c:extLst>
          </c:dPt>
          <c:dPt>
            <c:idx val="1"/>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3-E72E-439A-B9AF-B637237CC82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72E-439A-B9AF-B637237CC82B}"/>
              </c:ext>
            </c:extLst>
          </c:dPt>
          <c:dPt>
            <c:idx val="3"/>
            <c:bubble3D val="0"/>
            <c:spPr>
              <a:solidFill>
                <a:schemeClr val="tx1">
                  <a:lumMod val="95000"/>
                  <a:lumOff val="5000"/>
                </a:schemeClr>
              </a:solidFill>
              <a:ln w="19050">
                <a:solidFill>
                  <a:schemeClr val="lt1"/>
                </a:solidFill>
              </a:ln>
              <a:effectLst/>
            </c:spPr>
            <c:extLst>
              <c:ext xmlns:c16="http://schemas.microsoft.com/office/drawing/2014/chart" uri="{C3380CC4-5D6E-409C-BE32-E72D297353CC}">
                <c16:uniqueId val="{00000007-E72E-439A-B9AF-B637237CC82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72E-439A-B9AF-B637237CC8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'[35926224 (1).xls]Datos'!$I$3:$I$7</c:f>
              <c:strCache>
                <c:ptCount val="5"/>
                <c:pt idx="0">
                  <c:v>Menos de 1 mes</c:v>
                </c:pt>
                <c:pt idx="1">
                  <c:v>De 1 a 6 meses</c:v>
                </c:pt>
                <c:pt idx="2">
                  <c:v>De 7 meses a 1 año</c:v>
                </c:pt>
                <c:pt idx="3">
                  <c:v>Más de 1 año</c:v>
                </c:pt>
                <c:pt idx="4">
                  <c:v>A este paso, creo que nunca podré volver a trabajar</c:v>
                </c:pt>
              </c:strCache>
            </c:strRef>
          </c:cat>
          <c:val>
            <c:numRef>
              <c:f>'[35926224 (1).xls]Datos'!$J$3:$J$7</c:f>
              <c:numCache>
                <c:formatCode>0.0%</c:formatCode>
                <c:ptCount val="5"/>
                <c:pt idx="0">
                  <c:v>5.7636887608069162E-2</c:v>
                </c:pt>
                <c:pt idx="1">
                  <c:v>0.18731988472622479</c:v>
                </c:pt>
                <c:pt idx="2">
                  <c:v>7.7809798270893377E-2</c:v>
                </c:pt>
                <c:pt idx="3">
                  <c:v>0.10086455331412104</c:v>
                </c:pt>
                <c:pt idx="4">
                  <c:v>0.57636887608069165</c:v>
                </c:pt>
              </c:numCache>
            </c:numRef>
          </c:val>
          <c:extLst>
            <c:ext xmlns:c16="http://schemas.microsoft.com/office/drawing/2014/chart" uri="{C3380CC4-5D6E-409C-BE32-E72D297353CC}">
              <c16:uniqueId val="{0000000A-E72E-439A-B9AF-B637237CC82B}"/>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5352230971128611"/>
          <c:y val="0.2311544911052785"/>
          <c:w val="0.32981102362204723"/>
          <c:h val="0.67477398658501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7</Pages>
  <Words>1828</Words>
  <Characters>10054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Adecco group</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Gil</dc:creator>
  <cp:lastModifiedBy>Irene Gil</cp:lastModifiedBy>
  <cp:revision>112</cp:revision>
  <cp:lastPrinted>2017-06-12T13:08:00Z</cp:lastPrinted>
  <dcterms:created xsi:type="dcterms:W3CDTF">2019-05-07T10:40:00Z</dcterms:created>
  <dcterms:modified xsi:type="dcterms:W3CDTF">2019-06-04T17:17:00Z</dcterms:modified>
</cp:coreProperties>
</file>